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default" w:ascii="Times New Roman" w:hAnsi="Times New Roman" w:cs="Times New Roman"/>
          <w:b/>
          <w:sz w:val="28"/>
          <w:szCs w:val="21"/>
        </w:rPr>
      </w:pPr>
      <w:r>
        <w:rPr>
          <w:rFonts w:hint="eastAsia" w:ascii="Times New Roman" w:hAnsi="Times New Roman" w:eastAsia="宋体" w:cs="Times New Roman"/>
          <w:b/>
          <w:sz w:val="28"/>
          <w:szCs w:val="21"/>
          <w:lang w:eastAsia="zh-CN"/>
        </w:rPr>
        <w:t>不用</w:t>
      </w:r>
      <w:r>
        <w:rPr>
          <w:rFonts w:hint="eastAsia" w:ascii="Times New Roman" w:hAnsi="Times New Roman" w:eastAsia="宋体" w:cs="Times New Roman"/>
          <w:b/>
          <w:sz w:val="28"/>
          <w:szCs w:val="21"/>
          <w:lang w:val="en-US" w:eastAsia="zh-CN"/>
        </w:rPr>
        <w:t>B超，怎么诊断</w:t>
      </w:r>
      <w:r>
        <w:rPr>
          <w:rFonts w:hint="default" w:ascii="Times New Roman" w:hAnsi="Times New Roman" w:cs="Times New Roman"/>
          <w:b/>
          <w:sz w:val="28"/>
          <w:szCs w:val="21"/>
        </w:rPr>
        <w:t>甲状腺疾病</w:t>
      </w:r>
      <w:r>
        <w:rPr>
          <w:rFonts w:hint="eastAsia" w:ascii="Times New Roman" w:hAnsi="Times New Roman" w:eastAsia="宋体" w:cs="Times New Roman"/>
          <w:b/>
          <w:sz w:val="28"/>
          <w:szCs w:val="21"/>
          <w:lang w:eastAsia="zh-CN"/>
        </w:rPr>
        <w:t>？</w:t>
      </w:r>
    </w:p>
    <w:p>
      <w:pPr>
        <w:rPr>
          <w:rFonts w:hint="default" w:ascii="Times New Roman" w:hAnsi="Times New Roman" w:cs="Times New Roman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甲状腺疾病是临床常见的内分泌系统疾病，在其诊断的过程中，影像诊断不可或缺。目前超声是检查甲状腺的首选方法，但在甲状腺疾病的鉴别</w:t>
      </w:r>
      <w:r>
        <w:rPr>
          <w:rFonts w:hint="eastAsia" w:ascii="宋体" w:hAnsi="宋体" w:eastAsia="宋体" w:cs="宋体"/>
          <w:szCs w:val="21"/>
          <w:lang w:eastAsia="zh-CN"/>
        </w:rPr>
        <w:t>方面</w:t>
      </w:r>
      <w:r>
        <w:rPr>
          <w:rFonts w:hint="eastAsia" w:ascii="宋体" w:hAnsi="宋体" w:eastAsia="宋体" w:cs="宋体"/>
          <w:szCs w:val="21"/>
        </w:rPr>
        <w:t>缺乏敏感及特异的指标。MRI具有高分辨率、多参数成像的特点，在甲状腺疾病诊断中的价值</w:t>
      </w:r>
      <w:r>
        <w:rPr>
          <w:rFonts w:hint="eastAsia" w:ascii="宋体" w:hAnsi="宋体" w:eastAsia="宋体" w:cs="宋体"/>
          <w:szCs w:val="21"/>
          <w:lang w:eastAsia="zh-CN"/>
        </w:rPr>
        <w:t>逐渐</w:t>
      </w:r>
      <w:r>
        <w:rPr>
          <w:rFonts w:hint="eastAsia" w:ascii="宋体" w:hAnsi="宋体" w:eastAsia="宋体" w:cs="宋体"/>
          <w:szCs w:val="21"/>
        </w:rPr>
        <w:t>受到重视。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Cs w:val="21"/>
          <w:lang w:eastAsia="zh-CN"/>
        </w:rPr>
        <w:t>动态对比增强</w:t>
      </w:r>
      <w:r>
        <w:rPr>
          <w:rFonts w:hint="eastAsia" w:ascii="宋体" w:hAnsi="宋体" w:eastAsia="宋体" w:cs="宋体"/>
          <w:szCs w:val="21"/>
          <w:lang w:val="en-US" w:eastAsia="zh-CN"/>
        </w:rPr>
        <w:t>MRI（</w:t>
      </w:r>
      <w:r>
        <w:rPr>
          <w:rFonts w:hint="eastAsia" w:ascii="宋体" w:hAnsi="宋体" w:eastAsia="宋体" w:cs="宋体"/>
          <w:szCs w:val="21"/>
        </w:rPr>
        <w:t>DCE-MRI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是一种较为成熟的MRI检查方法，可以反映组织的灌注情况、细胞外间隙体积及血管通透性等</w:t>
      </w:r>
      <w:r>
        <w:rPr>
          <w:rFonts w:hint="eastAsia" w:ascii="宋体" w:hAnsi="宋体" w:eastAsia="宋体" w:cs="宋体"/>
          <w:szCs w:val="21"/>
          <w:vertAlign w:val="superscript"/>
        </w:rPr>
        <w:t>[1]</w:t>
      </w:r>
      <w:r>
        <w:rPr>
          <w:rFonts w:hint="eastAsia" w:ascii="宋体" w:hAnsi="宋体" w:eastAsia="宋体" w:cs="宋体"/>
          <w:szCs w:val="21"/>
        </w:rPr>
        <w:t>。其评估分析方式有定性分析和定量分析。定性分析以强化峰值（PH）、最大斜率（S</w:t>
      </w:r>
      <w:r>
        <w:rPr>
          <w:rFonts w:hint="eastAsia" w:ascii="宋体" w:hAnsi="宋体" w:eastAsia="宋体" w:cs="宋体"/>
          <w:szCs w:val="21"/>
          <w:vertAlign w:val="subscript"/>
        </w:rPr>
        <w:t>max</w:t>
      </w:r>
      <w:r>
        <w:rPr>
          <w:rFonts w:hint="eastAsia" w:ascii="宋体" w:hAnsi="宋体" w:eastAsia="宋体" w:cs="宋体"/>
          <w:szCs w:val="21"/>
        </w:rPr>
        <w:t>）、达峰时间（T</w:t>
      </w:r>
      <w:r>
        <w:rPr>
          <w:rFonts w:hint="eastAsia" w:ascii="宋体" w:hAnsi="宋体" w:eastAsia="宋体" w:cs="宋体"/>
          <w:szCs w:val="21"/>
          <w:vertAlign w:val="subscript"/>
        </w:rPr>
        <w:t>peak</w:t>
      </w:r>
      <w:r>
        <w:rPr>
          <w:rFonts w:hint="eastAsia" w:ascii="宋体" w:hAnsi="宋体" w:eastAsia="宋体" w:cs="宋体"/>
          <w:szCs w:val="21"/>
        </w:rPr>
        <w:t>）、强化率（Slope）、流出率和时间-增强曲线（TIC）为参数来评估病变。定量分析则是通过药代动力学模型计算得出微循环参数，一般包括：</w:t>
      </w:r>
      <w:r>
        <w:rPr>
          <w:rFonts w:hint="eastAsia" w:ascii="宋体" w:hAnsi="宋体" w:eastAsia="宋体" w:cs="宋体"/>
          <w:szCs w:val="21"/>
          <w:shd w:val="clear" w:color="auto" w:fill="FFFFFF"/>
        </w:rPr>
        <w:t>容量转运常数（K</w:t>
      </w:r>
      <w:r>
        <w:rPr>
          <w:rFonts w:hint="eastAsia" w:ascii="宋体" w:hAnsi="宋体" w:eastAsia="宋体" w:cs="宋体"/>
          <w:szCs w:val="21"/>
          <w:shd w:val="clear" w:color="auto" w:fill="FFFFFF"/>
          <w:vertAlign w:val="superscript"/>
        </w:rPr>
        <w:t>trans</w:t>
      </w:r>
      <w:r>
        <w:rPr>
          <w:rFonts w:hint="eastAsia" w:ascii="宋体" w:hAnsi="宋体" w:eastAsia="宋体" w:cs="宋体"/>
          <w:szCs w:val="21"/>
          <w:shd w:val="clear" w:color="auto" w:fill="FFFFFF"/>
        </w:rPr>
        <w:t>）、速率常数（K</w:t>
      </w:r>
      <w:r>
        <w:rPr>
          <w:rFonts w:hint="eastAsia" w:ascii="宋体" w:hAnsi="宋体" w:eastAsia="宋体" w:cs="宋体"/>
          <w:szCs w:val="21"/>
          <w:shd w:val="clear" w:color="auto" w:fill="FFFFFF"/>
          <w:vertAlign w:val="subscript"/>
        </w:rPr>
        <w:t>ep</w:t>
      </w:r>
      <w:r>
        <w:rPr>
          <w:rFonts w:hint="eastAsia" w:ascii="宋体" w:hAnsi="宋体" w:eastAsia="宋体" w:cs="宋体"/>
          <w:szCs w:val="21"/>
          <w:shd w:val="clear" w:color="auto" w:fill="FFFFFF"/>
        </w:rPr>
        <w:t>）、血管外细胞外间隙容积分数（V</w:t>
      </w:r>
      <w:r>
        <w:rPr>
          <w:rFonts w:hint="eastAsia" w:ascii="宋体" w:hAnsi="宋体" w:eastAsia="宋体" w:cs="宋体"/>
          <w:szCs w:val="21"/>
          <w:shd w:val="clear" w:color="auto" w:fill="FFFFFF"/>
          <w:vertAlign w:val="subscript"/>
        </w:rPr>
        <w:t>e</w:t>
      </w:r>
      <w:r>
        <w:rPr>
          <w:rFonts w:hint="eastAsia" w:ascii="宋体" w:hAnsi="宋体" w:eastAsia="宋体" w:cs="宋体"/>
          <w:szCs w:val="21"/>
          <w:shd w:val="clear" w:color="auto" w:fill="FFFFFF"/>
        </w:rPr>
        <w:t>）等。目前研究显示，DCE-MRI在甲状腺疾病诊疗中具有一定的价值。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甲状腺相关眼病的分期评估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甲状腺相关性眼病（TAO）是甲状腺疾病引起眼部受累的自身免疫反应。该病引起眶周组织炎细胞浸润和增生纤维化，导致眼球受压、活动受限甚至失明。根据病程，TAO分为活动期和稳定期，活动期是免疫抑制治疗的最佳时期，因此，准确判断TAO分期对治疗具有重要意义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姜虹等</w:t>
      </w:r>
      <w:r>
        <w:rPr>
          <w:rFonts w:hint="eastAsia" w:ascii="宋体" w:hAnsi="宋体" w:eastAsia="宋体" w:cs="宋体"/>
          <w:szCs w:val="21"/>
          <w:vertAlign w:val="superscript"/>
        </w:rPr>
        <w:t>[2]</w:t>
      </w:r>
      <w:r>
        <w:rPr>
          <w:rFonts w:hint="eastAsia" w:ascii="宋体" w:hAnsi="宋体" w:eastAsia="宋体" w:cs="宋体"/>
          <w:szCs w:val="21"/>
        </w:rPr>
        <w:t>以DCE-MRI强化率（ER）、流出率（WR）和达峰时间（T</w:t>
      </w:r>
      <w:r>
        <w:rPr>
          <w:rFonts w:hint="eastAsia" w:ascii="宋体" w:hAnsi="宋体" w:eastAsia="宋体" w:cs="宋体"/>
          <w:szCs w:val="21"/>
          <w:vertAlign w:val="subscript"/>
        </w:rPr>
        <w:t>peak</w:t>
      </w:r>
      <w:r>
        <w:rPr>
          <w:rFonts w:hint="eastAsia" w:ascii="宋体" w:hAnsi="宋体" w:eastAsia="宋体" w:cs="宋体"/>
          <w:szCs w:val="21"/>
        </w:rPr>
        <w:t>）为参数分析了TAO眼外肌受累特点，并将图像经过处理后形成时间信号强度曲线（TIC曲线）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宋体" w:hAnsi="宋体" w:eastAsia="宋体" w:cs="宋体"/>
          <w:szCs w:val="21"/>
        </w:rPr>
        <w:t>结果发现，TIC形态在正常对照组为Ⅲ型（流出型），TAO活动期组为Ⅱ型（平台型），而TAO稳定期组为Ⅰ型（渐进型），其中，流出型代表组织微血管丰富，血管通透性高；平台型代表微循环被破坏，组织代谢水平降低；渐进型代表疾病较活动期平台型曲线加重，眼外肌细胞出现纤维化，微血流灌注减低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霍蕾</w:t>
      </w:r>
      <w:r>
        <w:rPr>
          <w:rFonts w:hint="eastAsia" w:ascii="宋体" w:hAnsi="宋体" w:eastAsia="宋体" w:cs="宋体"/>
          <w:szCs w:val="21"/>
          <w:vertAlign w:val="superscript"/>
        </w:rPr>
        <w:t>[3]</w:t>
      </w:r>
      <w:r>
        <w:rPr>
          <w:rFonts w:hint="eastAsia" w:ascii="宋体" w:hAnsi="宋体" w:eastAsia="宋体" w:cs="宋体"/>
          <w:szCs w:val="21"/>
        </w:rPr>
        <w:t>等利用DCE-MRI的K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、K</w:t>
      </w:r>
      <w:r>
        <w:rPr>
          <w:rFonts w:hint="eastAsia" w:ascii="宋体" w:hAnsi="宋体" w:eastAsia="宋体" w:cs="宋体"/>
          <w:szCs w:val="21"/>
          <w:vertAlign w:val="subscript"/>
        </w:rPr>
        <w:t>ep</w:t>
      </w:r>
      <w:r>
        <w:rPr>
          <w:rFonts w:hint="eastAsia" w:ascii="宋体" w:hAnsi="宋体" w:eastAsia="宋体" w:cs="宋体"/>
          <w:szCs w:val="21"/>
        </w:rPr>
        <w:t>、Ve、及IAUC等定量指标评价了TAO眼外肌受累特点。试验入组17例及正常对照组27例，均行 DCE-MRI检查，利用后处理软件分别得到TAO组和正常对照组的内直肌、下直肌、外直肌及上直肌复合体的各个动态增强参数值，包括K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、K</w:t>
      </w:r>
      <w:r>
        <w:rPr>
          <w:rFonts w:hint="eastAsia" w:ascii="宋体" w:hAnsi="宋体" w:eastAsia="宋体" w:cs="宋体"/>
          <w:szCs w:val="21"/>
          <w:vertAlign w:val="subscript"/>
        </w:rPr>
        <w:t>ep</w:t>
      </w:r>
      <w:r>
        <w:rPr>
          <w:rFonts w:hint="eastAsia" w:ascii="宋体" w:hAnsi="宋体" w:eastAsia="宋体" w:cs="宋体"/>
          <w:szCs w:val="21"/>
        </w:rPr>
        <w:t>、Ve及 IAUC。结果显示，与正常对照组相比，TAO组内直肌K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、K</w:t>
      </w:r>
      <w:r>
        <w:rPr>
          <w:rFonts w:hint="eastAsia" w:ascii="宋体" w:hAnsi="宋体" w:eastAsia="宋体" w:cs="宋体"/>
          <w:szCs w:val="21"/>
          <w:vertAlign w:val="subscript"/>
        </w:rPr>
        <w:t>ep</w:t>
      </w:r>
      <w:r>
        <w:rPr>
          <w:rFonts w:hint="eastAsia" w:ascii="宋体" w:hAnsi="宋体" w:eastAsia="宋体" w:cs="宋体"/>
          <w:szCs w:val="21"/>
        </w:rPr>
        <w:t>、 IAUC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下直肌K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、K</w:t>
      </w:r>
      <w:r>
        <w:rPr>
          <w:rFonts w:hint="eastAsia" w:ascii="宋体" w:hAnsi="宋体" w:eastAsia="宋体" w:cs="宋体"/>
          <w:szCs w:val="21"/>
          <w:vertAlign w:val="subscript"/>
        </w:rPr>
        <w:t>ep</w:t>
      </w:r>
      <w:r>
        <w:rPr>
          <w:rFonts w:hint="eastAsia" w:ascii="宋体" w:hAnsi="宋体" w:eastAsia="宋体" w:cs="宋体"/>
          <w:szCs w:val="21"/>
        </w:rPr>
        <w:t>、Ve值减低（P&lt;0.05）</w:t>
      </w:r>
      <w:r>
        <w:rPr>
          <w:rFonts w:hint="eastAsia" w:ascii="宋体" w:hAnsi="宋体" w:eastAsia="宋体" w:cs="宋体"/>
          <w:szCs w:val="21"/>
          <w:lang w:eastAsia="zh-CN"/>
        </w:rPr>
        <w:t>；</w:t>
      </w:r>
      <w:r>
        <w:rPr>
          <w:rFonts w:hint="eastAsia" w:ascii="宋体" w:hAnsi="宋体" w:eastAsia="宋体" w:cs="宋体"/>
          <w:szCs w:val="21"/>
        </w:rPr>
        <w:t>上直肌K</w:t>
      </w:r>
      <w:r>
        <w:rPr>
          <w:rFonts w:hint="eastAsia" w:ascii="宋体" w:hAnsi="宋体" w:eastAsia="宋体" w:cs="宋体"/>
          <w:szCs w:val="21"/>
          <w:vertAlign w:val="subscript"/>
        </w:rPr>
        <w:t>ep</w:t>
      </w:r>
      <w:r>
        <w:rPr>
          <w:rFonts w:hint="eastAsia" w:ascii="宋体" w:hAnsi="宋体" w:eastAsia="宋体" w:cs="宋体"/>
          <w:szCs w:val="21"/>
        </w:rPr>
        <w:t>、Ve、IAUC值增高 （P&lt;0.05）。外直肌各参数值及内直肌Ve、下直肌IAUC、上直肌K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无差异（P&gt;0.05）。在定量DCE-MRI四个参数中，K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值最为敏感。研究提示，DCE-MRI对于TAO眼外肌受累评估有参考作用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K</w:t>
      </w:r>
      <w:r>
        <w:rPr>
          <w:rFonts w:hint="eastAsia" w:ascii="宋体" w:hAnsi="宋体" w:eastAsia="宋体" w:cs="宋体"/>
          <w:szCs w:val="21"/>
          <w:vertAlign w:val="superscript"/>
        </w:rPr>
        <w:t>trans</w:t>
      </w:r>
      <w:r>
        <w:rPr>
          <w:rFonts w:hint="eastAsia" w:ascii="宋体" w:hAnsi="宋体" w:eastAsia="宋体" w:cs="宋体"/>
          <w:szCs w:val="21"/>
        </w:rPr>
        <w:t>值最敏感，对于反映组织微循环变化最有意义。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甲状腺结节性质的评估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甲状腺结节十分常见，高清晰超声在人群中的检出率高达20%</w:t>
      </w:r>
      <w:r>
        <w:rPr>
          <w:rFonts w:hint="eastAsia" w:ascii="宋体" w:hAnsi="宋体" w:eastAsia="宋体" w:cs="宋体"/>
          <w:szCs w:val="21"/>
          <w:lang w:val="en-US" w:eastAsia="zh-CN"/>
        </w:rPr>
        <w:t>-</w:t>
      </w:r>
      <w:r>
        <w:rPr>
          <w:rFonts w:hint="eastAsia" w:ascii="宋体" w:hAnsi="宋体" w:eastAsia="宋体" w:cs="宋体"/>
          <w:szCs w:val="21"/>
        </w:rPr>
        <w:t>67%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其中5%-17%的甲状腺结节属于恶性</w:t>
      </w:r>
      <w:r>
        <w:rPr>
          <w:rFonts w:hint="eastAsia" w:ascii="宋体" w:hAnsi="宋体" w:eastAsia="宋体" w:cs="宋体"/>
          <w:szCs w:val="21"/>
          <w:lang w:eastAsia="zh-CN"/>
        </w:rPr>
        <w:t>。</w:t>
      </w:r>
      <w:r>
        <w:rPr>
          <w:rFonts w:hint="eastAsia" w:ascii="宋体" w:hAnsi="宋体" w:eastAsia="宋体" w:cs="宋体"/>
          <w:szCs w:val="21"/>
        </w:rPr>
        <w:t>因此，发现甲状腺结节后需进一步鉴别其良恶性。甲状腺细针抽吸细胞学检查（FNAC）是目前临床最常用的检查手段</w:t>
      </w:r>
      <w:r>
        <w:rPr>
          <w:rFonts w:hint="eastAsia" w:ascii="宋体" w:hAnsi="宋体" w:eastAsia="宋体" w:cs="宋体"/>
          <w:szCs w:val="21"/>
          <w:lang w:eastAsia="zh-CN"/>
        </w:rPr>
        <w:t>；</w:t>
      </w:r>
      <w:r>
        <w:rPr>
          <w:rFonts w:hint="eastAsia" w:ascii="宋体" w:hAnsi="宋体" w:eastAsia="宋体" w:cs="宋体"/>
          <w:szCs w:val="21"/>
        </w:rPr>
        <w:t>除此以外，DCE-MRI在其评估中</w:t>
      </w:r>
      <w:r>
        <w:rPr>
          <w:rFonts w:hint="eastAsia" w:ascii="宋体" w:hAnsi="宋体" w:eastAsia="宋体" w:cs="宋体"/>
          <w:szCs w:val="21"/>
          <w:lang w:eastAsia="zh-CN"/>
        </w:rPr>
        <w:t>作用</w:t>
      </w:r>
      <w:r>
        <w:rPr>
          <w:rFonts w:hint="eastAsia" w:ascii="宋体" w:hAnsi="宋体" w:eastAsia="宋体" w:cs="宋体"/>
          <w:szCs w:val="21"/>
        </w:rPr>
        <w:t>的研究</w:t>
      </w:r>
      <w:r>
        <w:rPr>
          <w:rFonts w:hint="eastAsia" w:ascii="宋体" w:hAnsi="宋体" w:eastAsia="宋体" w:cs="宋体"/>
          <w:szCs w:val="21"/>
          <w:lang w:eastAsia="zh-CN"/>
        </w:rPr>
        <w:t>也日益增多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闫斌等</w:t>
      </w:r>
      <w:r>
        <w:rPr>
          <w:rFonts w:hint="eastAsia" w:ascii="宋体" w:hAnsi="宋体" w:eastAsia="宋体" w:cs="宋体"/>
          <w:szCs w:val="21"/>
          <w:vertAlign w:val="superscript"/>
        </w:rPr>
        <w:t>[4]</w:t>
      </w:r>
      <w:r>
        <w:rPr>
          <w:rFonts w:hint="eastAsia" w:ascii="宋体" w:hAnsi="宋体" w:eastAsia="宋体" w:cs="宋体"/>
          <w:szCs w:val="21"/>
        </w:rPr>
        <w:t>对29例甲状腺结节患者使用对比剂</w:t>
      </w:r>
      <w:r>
        <w:rPr>
          <w:rFonts w:hint="eastAsia" w:ascii="宋体" w:hAnsi="宋体" w:eastAsia="宋体" w:cs="宋体"/>
          <w:szCs w:val="21"/>
          <w:lang w:val="en-US" w:eastAsia="zh-CN"/>
        </w:rPr>
        <w:t>Gd-DTPA-BMA</w:t>
      </w:r>
      <w:r>
        <w:rPr>
          <w:rFonts w:hint="eastAsia" w:ascii="宋体" w:hAnsi="宋体" w:eastAsia="宋体" w:cs="宋体"/>
          <w:szCs w:val="21"/>
          <w:lang w:eastAsia="zh-CN"/>
        </w:rPr>
        <w:t>（</w:t>
      </w:r>
      <w:r>
        <w:rPr>
          <w:rFonts w:hint="eastAsia" w:ascii="宋体" w:hAnsi="宋体" w:eastAsia="宋体" w:cs="宋体"/>
          <w:szCs w:val="21"/>
        </w:rPr>
        <w:t>钆双胺</w:t>
      </w:r>
      <w:r>
        <w:rPr>
          <w:rFonts w:hint="eastAsia" w:ascii="宋体" w:hAnsi="宋体" w:eastAsia="宋体" w:cs="宋体"/>
          <w:szCs w:val="21"/>
          <w:lang w:eastAsia="zh-CN"/>
        </w:rPr>
        <w:t>）</w:t>
      </w:r>
      <w:r>
        <w:rPr>
          <w:rFonts w:hint="eastAsia" w:ascii="宋体" w:hAnsi="宋体" w:eastAsia="宋体" w:cs="宋体"/>
          <w:szCs w:val="21"/>
        </w:rPr>
        <w:t>行DC</w:t>
      </w:r>
      <w:r>
        <w:rPr>
          <w:rFonts w:hint="eastAsia" w:ascii="宋体" w:hAnsi="宋体" w:eastAsia="宋体" w:cs="宋体"/>
          <w:szCs w:val="21"/>
          <w:lang w:val="en-US" w:eastAsia="zh-CN"/>
        </w:rPr>
        <w:t>E</w:t>
      </w:r>
      <w:r>
        <w:rPr>
          <w:rFonts w:hint="eastAsia" w:ascii="宋体" w:hAnsi="宋体" w:eastAsia="宋体" w:cs="宋体"/>
          <w:szCs w:val="21"/>
        </w:rPr>
        <w:t>-MRI扫描，经软件处理图像后形成时间-信号曲线（TIC），并计算峰值时间（T</w:t>
      </w:r>
      <w:r>
        <w:rPr>
          <w:rFonts w:hint="eastAsia" w:ascii="宋体" w:hAnsi="宋体" w:eastAsia="宋体" w:cs="宋体"/>
          <w:szCs w:val="21"/>
          <w:vertAlign w:val="subscript"/>
        </w:rPr>
        <w:t>peak</w:t>
      </w:r>
      <w:r>
        <w:rPr>
          <w:rFonts w:hint="eastAsia" w:ascii="宋体" w:hAnsi="宋体" w:eastAsia="宋体" w:cs="宋体"/>
          <w:szCs w:val="21"/>
        </w:rPr>
        <w:t>）、斜率（Slope）、最大强化率（ER）、最大信号强度（SI</w:t>
      </w:r>
      <w:r>
        <w:rPr>
          <w:rFonts w:hint="eastAsia" w:ascii="宋体" w:hAnsi="宋体" w:eastAsia="宋体" w:cs="宋体"/>
          <w:szCs w:val="21"/>
          <w:vertAlign w:val="subscript"/>
        </w:rPr>
        <w:t>max</w:t>
      </w:r>
      <w:r>
        <w:rPr>
          <w:rFonts w:hint="eastAsia" w:ascii="宋体" w:hAnsi="宋体" w:eastAsia="宋体" w:cs="宋体"/>
          <w:szCs w:val="21"/>
        </w:rPr>
        <w:t>）及清除率（WR</w:t>
      </w:r>
      <w:r>
        <w:rPr>
          <w:rFonts w:hint="eastAsia" w:ascii="宋体" w:hAnsi="宋体" w:eastAsia="宋体" w:cs="宋体"/>
          <w:szCs w:val="21"/>
          <w:vertAlign w:val="subscript"/>
        </w:rPr>
        <w:t>320s</w:t>
      </w:r>
      <w:r>
        <w:rPr>
          <w:rFonts w:hint="eastAsia" w:ascii="宋体" w:hAnsi="宋体" w:eastAsia="宋体" w:cs="宋体"/>
          <w:szCs w:val="21"/>
        </w:rPr>
        <w:t>）等参数。根据T</w:t>
      </w:r>
      <w:r>
        <w:rPr>
          <w:rFonts w:hint="eastAsia" w:ascii="宋体" w:hAnsi="宋体" w:eastAsia="宋体" w:cs="宋体"/>
          <w:szCs w:val="21"/>
          <w:vertAlign w:val="subscript"/>
        </w:rPr>
        <w:t>peak</w:t>
      </w:r>
      <w:r>
        <w:rPr>
          <w:rFonts w:hint="eastAsia" w:ascii="宋体" w:hAnsi="宋体" w:eastAsia="宋体" w:cs="宋体"/>
          <w:szCs w:val="21"/>
        </w:rPr>
        <w:t>和WR</w:t>
      </w:r>
      <w:r>
        <w:rPr>
          <w:rFonts w:hint="eastAsia" w:ascii="宋体" w:hAnsi="宋体" w:eastAsia="宋体" w:cs="宋体"/>
          <w:szCs w:val="21"/>
          <w:vertAlign w:val="subscript"/>
        </w:rPr>
        <w:t>320s</w:t>
      </w:r>
      <w:r>
        <w:rPr>
          <w:rFonts w:hint="eastAsia" w:ascii="宋体" w:hAnsi="宋体" w:eastAsia="宋体" w:cs="宋体"/>
          <w:szCs w:val="21"/>
        </w:rPr>
        <w:t>的差异，总结了6种类型TIC（图1）。结果显示，大多数甲状腺癌表现为Ⅲ型曲线，所有甲状腺癌均表现为Ⅱ型或Ⅲ型曲线。大多数良性结节表现为Ⅳ型曲线，所有桥本甲状腺炎均表现为Ⅳ型曲线，结节性甲状腺肿各种曲线类型均可出现，但绝大多数为Ⅳ型曲线。以Ⅱ型及Ⅲ型动态曲线作为诊断甲状腺癌的标准，敏感性、特异性、准确性、阳性预测值、阴性预测值分别为100%、84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6%、90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2%、78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9%、100%。DCE-MRI有助于甲状腺良恶性结节的鉴别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以Ⅱ型及Ⅲ型曲线作为诊断甲状腺癌的标准可获得较高的准确性。</w:t>
      </w:r>
    </w:p>
    <w:p>
      <w:pPr>
        <w:autoSpaceDE w:val="0"/>
        <w:autoSpaceDN w:val="0"/>
        <w:adjustRightInd w:val="0"/>
        <w:jc w:val="left"/>
        <w:rPr>
          <w:rFonts w:hint="eastAsia" w:ascii="宋体" w:hAnsi="宋体" w:eastAsia="宋体" w:cs="宋体"/>
          <w:szCs w:val="21"/>
        </w:rPr>
      </w:pPr>
    </w:p>
    <w:p>
      <w:pPr>
        <w:autoSpaceDE w:val="0"/>
        <w:autoSpaceDN w:val="0"/>
        <w:adjustRightInd w:val="0"/>
        <w:jc w:val="center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drawing>
          <wp:inline distT="0" distB="0" distL="0" distR="0">
            <wp:extent cx="2694940" cy="1734820"/>
            <wp:effectExtent l="0" t="0" r="0" b="0"/>
            <wp:docPr id="2" name="图片 2" descr="C:\Users\wsx\Desktop\t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wsx\Desktop\tic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8897" cy="1737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center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图1 时间-信号曲线（TIC）</w:t>
      </w:r>
    </w:p>
    <w:p>
      <w:pPr>
        <w:autoSpaceDE w:val="0"/>
        <w:autoSpaceDN w:val="0"/>
        <w:adjustRightInd w:val="0"/>
        <w:jc w:val="center"/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Tunca等</w:t>
      </w:r>
      <w:r>
        <w:rPr>
          <w:rFonts w:hint="eastAsia" w:ascii="宋体" w:hAnsi="宋体" w:eastAsia="宋体" w:cs="宋体"/>
          <w:szCs w:val="21"/>
          <w:vertAlign w:val="superscript"/>
        </w:rPr>
        <w:t>[5]</w:t>
      </w:r>
      <w:r>
        <w:rPr>
          <w:rFonts w:hint="eastAsia" w:ascii="宋体" w:hAnsi="宋体" w:eastAsia="宋体" w:cs="宋体"/>
          <w:szCs w:val="21"/>
        </w:rPr>
        <w:t>比较了DCE-MRI和FNAC对发现结节性甲状腺肿中甲状腺癌的诊断价值。结果显示，DCE-MRI发现甲状腺癌的敏感性和阴性预测值均为100%，特异性、准确性和阳性预测值分别为85%、88%和56%，优于FNAC检查。</w:t>
      </w:r>
    </w:p>
    <w:p>
      <w:pPr>
        <w:rPr>
          <w:rFonts w:hint="eastAsia" w:ascii="宋体" w:hAnsi="宋体" w:eastAsia="宋体" w:cs="宋体"/>
          <w:szCs w:val="21"/>
        </w:rPr>
      </w:pPr>
    </w:p>
    <w:p>
      <w:pPr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随着不断的技术完善和研究深入，DCE-MRI的敏感性和准确性将进一步提高，其在甲状腺疾病的诊断和鉴别诊断</w:t>
      </w:r>
      <w:r>
        <w:rPr>
          <w:rFonts w:hint="eastAsia" w:ascii="宋体" w:hAnsi="宋体" w:eastAsia="宋体" w:cs="宋体"/>
          <w:szCs w:val="21"/>
          <w:lang w:eastAsia="zh-CN"/>
        </w:rPr>
        <w:t>中也将具有可观的</w:t>
      </w:r>
      <w:r>
        <w:rPr>
          <w:rFonts w:hint="eastAsia" w:ascii="宋体" w:hAnsi="宋体" w:eastAsia="宋体" w:cs="宋体"/>
          <w:szCs w:val="21"/>
        </w:rPr>
        <w:t>应用价值。</w:t>
      </w:r>
    </w:p>
    <w:p>
      <w:pPr>
        <w:rPr>
          <w:rFonts w:hint="eastAsia" w:ascii="宋体" w:hAnsi="宋体" w:eastAsia="宋体" w:cs="宋体"/>
          <w:szCs w:val="21"/>
        </w:rPr>
      </w:pPr>
      <w:bookmarkStart w:id="0" w:name="_GoBack"/>
      <w:bookmarkEnd w:id="0"/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参考文献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[1] Oostendorp M,Post MJ,Backes WH.Vessel growth and functin:depiction with chontrast-enhanced MR imaging.Radiology.2009,251（2）：317-333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[2]姜虹,王振常,鲜军舫,等.Graves眼病眼外肌受累特点的MR动态增强研究.磁共振成像[J]，2012,3（5）:341-346.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[3]霍蕾,闫铄,王健,沈文,夏爽.定量动态增强MRI对评价慢性期甲状腺相关眼病 眼外肌受累的价值.[J]. 磁共振成像 2014,5（1）:30-34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[4]闫斌，梁秀芬，赵婷婷等.DCE-MRI鉴别甲状腺结节良恶性的应用价值.临床放射学杂志[J]，2013，32（1）:42-45.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[5] Tunca F,Giles Y. Salmaslioglu A. et al. The preoperative exclusion of thyroid carcinoma in multinodular goiter: Dynamic contrast-enhanced magnetic resonance imaging versus ultrasonographys-guided fine-needle aspiration biopsy. Surgery. 2007.142:992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E-BZ+ZCSJZB-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4B"/>
    <w:rsid w:val="00005F4B"/>
    <w:rsid w:val="000B2C3B"/>
    <w:rsid w:val="00145EFF"/>
    <w:rsid w:val="00167614"/>
    <w:rsid w:val="00186C9F"/>
    <w:rsid w:val="0019636F"/>
    <w:rsid w:val="001F3E28"/>
    <w:rsid w:val="00201F91"/>
    <w:rsid w:val="00207CF1"/>
    <w:rsid w:val="002B7BF8"/>
    <w:rsid w:val="00480D64"/>
    <w:rsid w:val="004C015F"/>
    <w:rsid w:val="00555B8A"/>
    <w:rsid w:val="00556E60"/>
    <w:rsid w:val="005F3706"/>
    <w:rsid w:val="00682AC4"/>
    <w:rsid w:val="006C5FF8"/>
    <w:rsid w:val="00703A60"/>
    <w:rsid w:val="007122C9"/>
    <w:rsid w:val="00726D74"/>
    <w:rsid w:val="007905B9"/>
    <w:rsid w:val="007A35D7"/>
    <w:rsid w:val="007C6A0C"/>
    <w:rsid w:val="007D461A"/>
    <w:rsid w:val="00825E6D"/>
    <w:rsid w:val="008B4087"/>
    <w:rsid w:val="00990ED1"/>
    <w:rsid w:val="00996814"/>
    <w:rsid w:val="009A0587"/>
    <w:rsid w:val="009F098C"/>
    <w:rsid w:val="00A40900"/>
    <w:rsid w:val="00A441A6"/>
    <w:rsid w:val="00AD414E"/>
    <w:rsid w:val="00B271CF"/>
    <w:rsid w:val="00B2745E"/>
    <w:rsid w:val="00B76A94"/>
    <w:rsid w:val="00C03C3A"/>
    <w:rsid w:val="00CE7A39"/>
    <w:rsid w:val="00D10E27"/>
    <w:rsid w:val="00EA3784"/>
    <w:rsid w:val="00F030EE"/>
    <w:rsid w:val="00F75B7D"/>
    <w:rsid w:val="00FC1FE2"/>
    <w:rsid w:val="00FF7BE8"/>
    <w:rsid w:val="089F41B4"/>
    <w:rsid w:val="205C42A5"/>
    <w:rsid w:val="31940C65"/>
    <w:rsid w:val="403027DE"/>
    <w:rsid w:val="5F7836B0"/>
    <w:rsid w:val="62D8045A"/>
    <w:rsid w:val="65E24F34"/>
    <w:rsid w:val="6FF269B8"/>
    <w:rsid w:val="72E0757D"/>
    <w:rsid w:val="7D975A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  <w:style w:type="character" w:customStyle="1" w:styleId="8">
    <w:name w:val="apple-converted-spac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373</Words>
  <Characters>2132</Characters>
  <Lines>17</Lines>
  <Paragraphs>4</Paragraphs>
  <ScaleCrop>false</ScaleCrop>
  <LinksUpToDate>false</LinksUpToDate>
  <CharactersWithSpaces>2501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2015-11-09T06:46:00Z</dcterms:created>
  <dc:creator>wsx</dc:creator>
  <cp:lastModifiedBy>moemoe</cp:lastModifiedBy>
  <dcterms:modified xsi:type="dcterms:W3CDTF">2016-01-28T05:47:39Z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