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hint="eastAsia" w:ascii="黑体" w:hAnsi="黑体" w:eastAsia="黑体" w:cs="黑体"/>
          <w:sz w:val="28"/>
          <w:szCs w:val="28"/>
          <w:lang w:eastAsia="zh-CN"/>
        </w:rPr>
      </w:pPr>
      <w:r>
        <w:rPr>
          <w:rFonts w:hint="eastAsia" w:ascii="黑体" w:hAnsi="黑体" w:eastAsia="黑体" w:cs="黑体"/>
          <w:sz w:val="28"/>
          <w:szCs w:val="28"/>
          <w:lang w:eastAsia="zh-CN"/>
        </w:rPr>
        <w:t>影像通缉令|如何指认“女性杀手”宫颈癌？</w:t>
      </w:r>
    </w:p>
    <w:p>
      <w:pPr>
        <w:rPr>
          <w:rFonts w:hint="eastAsia"/>
          <w:lang w:eastAsia="zh-CN"/>
        </w:rPr>
      </w:pPr>
    </w:p>
    <w:p>
      <w:pPr>
        <w:rPr>
          <w:rFonts w:hint="eastAsia"/>
          <w:lang w:eastAsia="zh-CN"/>
        </w:rPr>
      </w:pPr>
      <w:r>
        <w:rPr>
          <w:rFonts w:hint="eastAsia"/>
          <w:lang w:eastAsia="zh-CN"/>
        </w:rPr>
        <w:t>宫颈癌是最常见的女性恶性肿瘤之一，其发病与人乳头状瘤病毒（human papilloma virus，HPV）、早婚早育、多产、性激素失调等因素有关，死亡率在女性恶性肿瘤中仅次于乳腺癌，是名副其实的“女性杀手”。早期诊断及准确分期是决定治疗方案选择、影响患者预后的关键因素。根治性手术治疗仅适用于</w:t>
      </w:r>
      <w:r>
        <w:rPr>
          <w:rFonts w:hint="eastAsia"/>
          <w:lang w:val="en-US" w:eastAsia="zh-CN"/>
        </w:rPr>
        <w:t>I~IIA</w:t>
      </w:r>
      <w:r>
        <w:rPr>
          <w:rFonts w:hint="eastAsia"/>
          <w:lang w:eastAsia="zh-CN"/>
        </w:rPr>
        <w:t>期的宫颈癌患者，中晚期患者则应以同步放化疗为主。</w:t>
      </w:r>
    </w:p>
    <w:p>
      <w:pPr>
        <w:rPr>
          <w:rFonts w:hint="eastAsia"/>
          <w:lang w:eastAsia="zh-CN"/>
        </w:rPr>
      </w:pPr>
    </w:p>
    <w:p>
      <w:pPr>
        <w:rPr>
          <w:rFonts w:hint="eastAsia"/>
          <w:lang w:val="en-US" w:eastAsia="zh-CN"/>
        </w:rPr>
      </w:pPr>
      <w:r>
        <w:rPr>
          <w:rFonts w:hint="eastAsia"/>
          <w:lang w:eastAsia="zh-CN"/>
        </w:rPr>
        <w:t>超声、CT及MRI为宫颈癌的诊断、分期提供了有力的工具，其中</w:t>
      </w:r>
      <w:r>
        <w:rPr>
          <w:rFonts w:hint="eastAsia"/>
          <w:lang w:val="en-US" w:eastAsia="zh-CN"/>
        </w:rPr>
        <w:t>MRI</w:t>
      </w:r>
      <w:r>
        <w:rPr>
          <w:rFonts w:hint="eastAsia"/>
          <w:lang w:eastAsia="zh-CN"/>
        </w:rPr>
        <w:t>具有较高的软组织分辨力，能够准确提供病变及周围结构的信息，是宫颈癌最佳的影像学检查方法。近年来，动态对比增强</w:t>
      </w:r>
      <w:r>
        <w:rPr>
          <w:rFonts w:hint="eastAsia"/>
          <w:lang w:val="en-US" w:eastAsia="zh-CN"/>
        </w:rPr>
        <w:t>MRI（DCE-MRI）因其可全面评价对比剂进入和排出肿瘤的全过程，对微血管通透性进行研究，了解肿瘤组织的血流灌注情况，被广泛应用于宫颈癌的影像诊断</w:t>
      </w:r>
      <w:r>
        <w:rPr>
          <w:rFonts w:hint="eastAsia"/>
          <w:vertAlign w:val="superscript"/>
          <w:lang w:val="en-US" w:eastAsia="zh-CN"/>
        </w:rPr>
        <w:t>[1][2]</w:t>
      </w:r>
      <w:r>
        <w:rPr>
          <w:rFonts w:hint="eastAsia"/>
          <w:lang w:val="en-US" w:eastAsia="zh-CN"/>
        </w:rPr>
        <w:t>。</w:t>
      </w:r>
    </w:p>
    <w:p>
      <w:pPr>
        <w:rPr>
          <w:rFonts w:hint="eastAsia"/>
          <w:lang w:val="en-US" w:eastAsia="zh-CN"/>
        </w:rPr>
      </w:pPr>
    </w:p>
    <w:p>
      <w:pPr>
        <w:rPr>
          <w:rFonts w:hint="eastAsia"/>
          <w:b/>
          <w:bCs/>
          <w:lang w:val="en-US" w:eastAsia="zh-CN"/>
        </w:rPr>
      </w:pPr>
      <w:r>
        <w:rPr>
          <w:rFonts w:hint="eastAsia"/>
          <w:b/>
          <w:bCs/>
          <w:lang w:val="en-US" w:eastAsia="zh-CN"/>
        </w:rPr>
        <w:t>早期诊断及分期</w:t>
      </w:r>
    </w:p>
    <w:p>
      <w:pPr>
        <w:rPr>
          <w:rFonts w:hint="eastAsia"/>
          <w:b/>
          <w:bCs/>
          <w:lang w:val="en-US" w:eastAsia="zh-CN"/>
        </w:rPr>
      </w:pPr>
    </w:p>
    <w:p>
      <w:pPr>
        <w:rPr>
          <w:rFonts w:hint="eastAsia"/>
          <w:lang w:val="en-US" w:eastAsia="zh-CN"/>
        </w:rPr>
      </w:pPr>
      <w:r>
        <w:rPr>
          <w:rFonts w:hint="eastAsia"/>
          <w:lang w:val="en-US" w:eastAsia="zh-CN"/>
        </w:rPr>
        <w:t>DCE-MRI多采用钆对比剂，经静脉使用高压注射器快速团注，并使用三维T1WI序列（如LAVA序列）采集信号。宫颈癌组织在早期即明显强化，强化程度一般高于周围正常组织，达峰时间为注射对比剂后30~60s，随后对比剂逐渐廓清；与正常组织的持续强化相比，延迟期肿瘤明显低于正常组织。张婷等</w:t>
      </w:r>
      <w:r>
        <w:rPr>
          <w:rFonts w:hint="eastAsia"/>
          <w:vertAlign w:val="superscript"/>
          <w:lang w:val="en-US" w:eastAsia="zh-CN"/>
        </w:rPr>
        <w:t>[3]</w:t>
      </w:r>
      <w:r>
        <w:rPr>
          <w:rFonts w:hint="eastAsia"/>
          <w:lang w:val="en-US" w:eastAsia="zh-CN"/>
        </w:rPr>
        <w:t>纳入40例宫颈癌患者，其中35例在早期均有不同程度强化，病灶与正常组织间产生明显的信号差异，病灶边界显示清晰；31例于延迟期病灶中心呈中央低信号、边缘高信号，与信号逐渐强化的正常子宫组织形成对比。</w:t>
      </w:r>
    </w:p>
    <w:p>
      <w:pPr>
        <w:rPr>
          <w:rFonts w:hint="eastAsia"/>
          <w:lang w:val="en-US" w:eastAsia="zh-CN"/>
        </w:rPr>
      </w:pPr>
    </w:p>
    <w:p>
      <w:pPr>
        <w:rPr>
          <w:rFonts w:hint="eastAsia"/>
          <w:lang w:val="en-US" w:eastAsia="zh-CN"/>
        </w:rPr>
      </w:pPr>
      <w:r>
        <w:rPr>
          <w:rFonts w:hint="eastAsia"/>
          <w:lang w:val="en-US" w:eastAsia="zh-CN"/>
        </w:rPr>
        <w:t>宫旁侵犯是判断肿瘤≥II B期的标准及决定手术还是放化疗的依据。DCE-MRI中，早期高信号病变周围环绕完整低信号基质环及增强晚期病变周围强化的基质环均可提示宫旁无侵犯，帮助进行分期诊断</w:t>
      </w:r>
      <w:r>
        <w:rPr>
          <w:rFonts w:hint="eastAsia"/>
          <w:vertAlign w:val="superscript"/>
          <w:lang w:val="en-US" w:eastAsia="zh-CN"/>
        </w:rPr>
        <w:t>[4]</w:t>
      </w:r>
      <w:r>
        <w:rPr>
          <w:rFonts w:hint="eastAsia"/>
          <w:lang w:val="en-US" w:eastAsia="zh-CN"/>
        </w:rPr>
        <w:t>。</w:t>
      </w:r>
    </w:p>
    <w:p>
      <w:pPr>
        <w:rPr>
          <w:rFonts w:hint="eastAsia"/>
          <w:lang w:val="en-US" w:eastAsia="zh-CN"/>
        </w:rPr>
      </w:pPr>
    </w:p>
    <w:p>
      <w:pPr>
        <w:rPr>
          <w:rFonts w:hint="eastAsia"/>
          <w:b/>
          <w:bCs/>
        </w:rPr>
      </w:pPr>
      <w:r>
        <w:rPr>
          <w:rFonts w:hint="eastAsia"/>
          <w:b/>
          <w:bCs/>
        </w:rPr>
        <w:t>疗效预测及评估</w:t>
      </w:r>
    </w:p>
    <w:p>
      <w:pPr>
        <w:rPr>
          <w:rFonts w:hint="eastAsia"/>
          <w:b/>
          <w:bCs/>
        </w:rPr>
      </w:pPr>
    </w:p>
    <w:p>
      <w:pPr>
        <w:rPr>
          <w:rFonts w:hint="eastAsia"/>
          <w:lang w:val="en-US" w:eastAsia="zh-CN"/>
        </w:rPr>
      </w:pPr>
      <w:r>
        <w:rPr>
          <w:rFonts w:hint="eastAsia"/>
          <w:lang w:val="en-US" w:eastAsia="zh-CN"/>
        </w:rPr>
        <w:t>肿瘤放疗敏感性与肿瘤细胞的含氧量密切相关，在乏氧状态下肿瘤细胞易出现放疗抗拒。DCE-MRI显示治疗前肿瘤强化明显的区域主要由局部血供丰富、微循环灌注及含氧量较高的癌组织构成，对放疗较为敏感。半定量参数中达峰时间、平均斜率、最大强化率、廓清率对宫颈癌的疗效具有预测价值</w:t>
      </w:r>
      <w:r>
        <w:rPr>
          <w:rFonts w:hint="eastAsia"/>
          <w:vertAlign w:val="superscript"/>
          <w:lang w:val="en-US" w:eastAsia="zh-CN"/>
        </w:rPr>
        <w:t>[1]</w:t>
      </w:r>
      <w:r>
        <w:rPr>
          <w:rFonts w:hint="eastAsia"/>
          <w:lang w:val="en-US" w:eastAsia="zh-CN"/>
        </w:rPr>
        <w:t>。</w:t>
      </w:r>
    </w:p>
    <w:p>
      <w:pPr>
        <w:rPr>
          <w:rFonts w:hint="eastAsia"/>
          <w:lang w:val="en-US" w:eastAsia="zh-CN"/>
        </w:rPr>
      </w:pPr>
    </w:p>
    <w:p>
      <w:pPr>
        <w:rPr>
          <w:rFonts w:hint="eastAsia"/>
          <w:lang w:val="en-US" w:eastAsia="zh-CN"/>
        </w:rPr>
      </w:pPr>
      <w:r>
        <w:rPr>
          <w:rFonts w:hint="eastAsia"/>
          <w:lang w:val="en-US" w:eastAsia="zh-CN"/>
        </w:rPr>
        <w:t>李建生等</w:t>
      </w:r>
      <w:r>
        <w:rPr>
          <w:rFonts w:hint="eastAsia"/>
          <w:vertAlign w:val="superscript"/>
          <w:lang w:val="en-US" w:eastAsia="zh-CN"/>
        </w:rPr>
        <w:t>[5]</w:t>
      </w:r>
      <w:r>
        <w:rPr>
          <w:rFonts w:hint="eastAsia"/>
          <w:lang w:val="en-US" w:eastAsia="zh-CN"/>
        </w:rPr>
        <w:t>利用相对信号强化率（RE%）和最大相对信号强化率（MRE%）对放疗后的宫颈癌病灶进行评估。研究发现，宫颈癌放疗前与放疗后1个月内测量宫颈病灶-子宫肌层的差值比较，其RE值差值比较差异无统计学意义，而MRE差值比较差异有统计学意义（P&lt;0．05）。宫颈癌放疗后1月内与放疗后3个月以上测量宫颈病灶比较，其RE、MRE差异有统计学意义（P&lt;0．05）。结果显示放疗可使肿瘤微血管减少，其血流灌注也明显减少，DCE-MRI可准确表达组织微血管情况，反映肿瘤血流动力学改变，更为可靠地评价放疗效果。</w:t>
      </w:r>
    </w:p>
    <w:p>
      <w:pPr>
        <w:rPr>
          <w:rFonts w:hint="eastAsia"/>
          <w:lang w:val="en-US" w:eastAsia="zh-CN"/>
        </w:rPr>
      </w:pPr>
    </w:p>
    <w:p>
      <w:pPr>
        <w:rPr>
          <w:rFonts w:hint="eastAsia"/>
          <w:lang w:val="en-US" w:eastAsia="zh-CN"/>
        </w:rPr>
      </w:pPr>
      <w:r>
        <w:rPr>
          <w:rFonts w:hint="eastAsia"/>
          <w:lang w:val="en-US" w:eastAsia="zh-CN"/>
        </w:rPr>
        <w:t>而对于行手术治疗的宫颈癌而言，血流灌注丰富的肿瘤组织更易出现周围组织侵犯及淋巴结转移，预后反而不佳，其疗效也可通过DCE-MRI进行预测。</w:t>
      </w:r>
    </w:p>
    <w:p>
      <w:pPr>
        <w:rPr>
          <w:rFonts w:hint="eastAsia"/>
          <w:lang w:val="en-US" w:eastAsia="zh-CN"/>
        </w:rPr>
      </w:pPr>
    </w:p>
    <w:p>
      <w:pPr>
        <w:rPr>
          <w:rFonts w:hint="eastAsia"/>
          <w:b/>
          <w:bCs/>
          <w:lang w:val="en-US" w:eastAsia="zh-CN"/>
        </w:rPr>
      </w:pPr>
      <w:r>
        <w:rPr>
          <w:rFonts w:hint="eastAsia"/>
          <w:b/>
          <w:bCs/>
          <w:lang w:val="en-US" w:eastAsia="zh-CN"/>
        </w:rPr>
        <w:t>肿瘤复发的诊断</w:t>
      </w:r>
    </w:p>
    <w:p>
      <w:pPr>
        <w:rPr>
          <w:rFonts w:hint="eastAsia"/>
          <w:b/>
          <w:bCs/>
          <w:lang w:val="en-US" w:eastAsia="zh-CN"/>
        </w:rPr>
      </w:pPr>
      <w:bookmarkStart w:id="0" w:name="_GoBack"/>
      <w:bookmarkEnd w:id="0"/>
    </w:p>
    <w:p>
      <w:pPr>
        <w:rPr>
          <w:rFonts w:hint="eastAsia"/>
          <w:lang w:val="en-US" w:eastAsia="zh-CN"/>
        </w:rPr>
      </w:pPr>
      <w:r>
        <w:rPr>
          <w:rFonts w:hint="eastAsia"/>
          <w:lang w:val="en-US" w:eastAsia="zh-CN"/>
        </w:rPr>
        <w:t>约50%的宫颈癌患者在治疗后1年内出现复发，约75%在治疗后2年内出现复发，复发患者的生存期仅为7个月。利用DCE-MRI中的定量参数可准确判断患者的复发情况，K</w:t>
      </w:r>
      <w:r>
        <w:rPr>
          <w:rFonts w:hint="eastAsia"/>
          <w:vertAlign w:val="superscript"/>
          <w:lang w:val="en-US" w:eastAsia="zh-CN"/>
        </w:rPr>
        <w:t>trans</w:t>
      </w:r>
      <w:r>
        <w:rPr>
          <w:rFonts w:hint="eastAsia"/>
          <w:lang w:val="en-US" w:eastAsia="zh-CN"/>
        </w:rPr>
        <w:t>为对比剂在微血管中每分钟从血浆扩散至血管外细胞外间隙（EES）的容积转换常数，与血流速度、血管通透性、血管床面积等因素有关；K</w:t>
      </w:r>
      <w:r>
        <w:rPr>
          <w:rFonts w:hint="eastAsia"/>
          <w:vertAlign w:val="subscript"/>
          <w:lang w:val="en-US" w:eastAsia="zh-CN"/>
        </w:rPr>
        <w:t>ep</w:t>
      </w:r>
      <w:r>
        <w:rPr>
          <w:rFonts w:hint="eastAsia"/>
          <w:lang w:val="en-US" w:eastAsia="zh-CN"/>
        </w:rPr>
        <w:t>是对比剂在微血管中每分钟从EES到血浆的速率常数，反映肿瘤血管通透性和肿瘤血管密度；V</w:t>
      </w:r>
      <w:r>
        <w:rPr>
          <w:rFonts w:hint="eastAsia"/>
          <w:vertAlign w:val="subscript"/>
          <w:lang w:val="en-US" w:eastAsia="zh-CN"/>
        </w:rPr>
        <w:t>e</w:t>
      </w:r>
      <w:r>
        <w:rPr>
          <w:rFonts w:hint="eastAsia"/>
          <w:vertAlign w:val="baseline"/>
          <w:lang w:val="en-US" w:eastAsia="zh-CN"/>
        </w:rPr>
        <w:t>代表</w:t>
      </w:r>
      <w:r>
        <w:rPr>
          <w:rFonts w:hint="eastAsia"/>
          <w:lang w:val="en-US" w:eastAsia="zh-CN"/>
        </w:rPr>
        <w:t>对比剂在EES的容积。</w:t>
      </w:r>
    </w:p>
    <w:p>
      <w:pPr>
        <w:rPr>
          <w:rFonts w:hint="eastAsia"/>
          <w:lang w:val="en-US" w:eastAsia="zh-CN"/>
        </w:rPr>
      </w:pPr>
    </w:p>
    <w:p>
      <w:pPr>
        <w:rPr>
          <w:rFonts w:hint="eastAsia"/>
          <w:lang w:val="en-US" w:eastAsia="zh-CN"/>
        </w:rPr>
      </w:pPr>
      <w:r>
        <w:rPr>
          <w:rFonts w:hint="eastAsia"/>
        </w:rPr>
        <w:t>朱志军</w:t>
      </w:r>
      <w:r>
        <w:rPr>
          <w:rFonts w:hint="eastAsia"/>
          <w:lang w:eastAsia="zh-CN"/>
        </w:rPr>
        <w:t>等</w:t>
      </w:r>
      <w:r>
        <w:rPr>
          <w:rFonts w:hint="eastAsia"/>
          <w:vertAlign w:val="superscript"/>
          <w:lang w:val="en-US" w:eastAsia="zh-CN"/>
        </w:rPr>
        <w:t>[6]</w:t>
      </w:r>
      <w:r>
        <w:rPr>
          <w:rFonts w:hint="eastAsia"/>
          <w:lang w:val="en-US" w:eastAsia="zh-CN"/>
        </w:rPr>
        <w:t>研究表明，复发宫颈癌微血管通透性的定量参数K</w:t>
      </w:r>
      <w:r>
        <w:rPr>
          <w:rFonts w:hint="eastAsia"/>
          <w:vertAlign w:val="superscript"/>
          <w:lang w:val="en-US" w:eastAsia="zh-CN"/>
        </w:rPr>
        <w:t>trans</w:t>
      </w:r>
      <w:r>
        <w:rPr>
          <w:rFonts w:hint="eastAsia"/>
          <w:vertAlign w:val="baseline"/>
          <w:lang w:val="en-US" w:eastAsia="zh-CN"/>
        </w:rPr>
        <w:t>及</w:t>
      </w:r>
      <w:r>
        <w:rPr>
          <w:rFonts w:hint="eastAsia"/>
          <w:lang w:val="en-US" w:eastAsia="zh-CN"/>
        </w:rPr>
        <w:t>K</w:t>
      </w:r>
      <w:r>
        <w:rPr>
          <w:rFonts w:hint="eastAsia"/>
          <w:vertAlign w:val="subscript"/>
          <w:lang w:val="en-US" w:eastAsia="zh-CN"/>
        </w:rPr>
        <w:t>ep</w:t>
      </w:r>
      <w:r>
        <w:rPr>
          <w:rFonts w:hint="eastAsia"/>
          <w:lang w:val="en-US" w:eastAsia="zh-CN"/>
        </w:rPr>
        <w:t>值均高于未复发宫颈癌组（表1），可能与前者的细胞生长较快，肿瘤新生血管增多，微血管密度增加，血管通透性增高有关。</w:t>
      </w:r>
    </w:p>
    <w:p>
      <w:pPr>
        <w:rPr>
          <w:rFonts w:hint="eastAsia"/>
          <w:lang w:val="en-US" w:eastAsia="zh-CN"/>
        </w:rPr>
      </w:pPr>
    </w:p>
    <w:p>
      <w:pPr>
        <w:jc w:val="center"/>
        <w:rPr>
          <w:rFonts w:hint="eastAsia"/>
          <w:color w:val="7F7F7F" w:themeColor="background1" w:themeShade="80"/>
          <w:lang w:val="en-US" w:eastAsia="zh-CN"/>
        </w:rPr>
      </w:pPr>
      <w:r>
        <w:rPr>
          <w:rFonts w:hint="eastAsia"/>
          <w:color w:val="7F7F7F" w:themeColor="background1" w:themeShade="80"/>
          <w:lang w:eastAsia="zh-CN"/>
        </w:rPr>
        <w:t>表</w:t>
      </w:r>
      <w:r>
        <w:rPr>
          <w:rFonts w:hint="eastAsia"/>
          <w:color w:val="7F7F7F" w:themeColor="background1" w:themeShade="80"/>
          <w:lang w:val="en-US" w:eastAsia="zh-CN"/>
        </w:rPr>
        <w:t xml:space="preserve">1 </w:t>
      </w:r>
      <w:r>
        <w:rPr>
          <w:rFonts w:hint="eastAsia"/>
          <w:color w:val="7F7F7F" w:themeColor="background1" w:themeShade="80"/>
        </w:rPr>
        <w:t>复发宫颈癌组与</w:t>
      </w:r>
      <w:r>
        <w:rPr>
          <w:rFonts w:hint="eastAsia"/>
          <w:color w:val="7F7F7F" w:themeColor="background1" w:themeShade="80"/>
          <w:lang w:eastAsia="zh-CN"/>
        </w:rPr>
        <w:t>非</w:t>
      </w:r>
      <w:r>
        <w:rPr>
          <w:rFonts w:hint="eastAsia"/>
          <w:color w:val="7F7F7F" w:themeColor="background1" w:themeShade="80"/>
        </w:rPr>
        <w:t>复发宫颈癌组</w:t>
      </w:r>
      <w:r>
        <w:rPr>
          <w:rFonts w:hint="eastAsia"/>
          <w:color w:val="7F7F7F" w:themeColor="background1" w:themeShade="80"/>
          <w:lang w:eastAsia="zh-CN"/>
        </w:rPr>
        <w:t>定量</w:t>
      </w:r>
      <w:r>
        <w:rPr>
          <w:rFonts w:hint="eastAsia"/>
          <w:color w:val="7F7F7F" w:themeColor="background1" w:themeShade="80"/>
        </w:rPr>
        <w:t>参数值比较</w:t>
      </w:r>
    </w:p>
    <w:p>
      <w:pPr>
        <w:rPr>
          <w:rFonts w:hint="eastAsia"/>
          <w:lang w:val="en-US" w:eastAsia="zh-CN"/>
        </w:rPr>
      </w:pPr>
      <w:r>
        <w:rPr>
          <w:rFonts w:hint="eastAsia"/>
          <w:lang w:val="en-US" w:eastAsia="zh-CN"/>
        </w:rPr>
        <w:drawing>
          <wp:inline distT="0" distB="0" distL="114300" distR="114300">
            <wp:extent cx="5270500" cy="1164590"/>
            <wp:effectExtent l="0" t="0" r="6350" b="16510"/>
            <wp:docPr id="1" name="图片 1" descr="QQ截图2015122116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51221161348"/>
                    <pic:cNvPicPr>
                      <a:picLocks noChangeAspect="1"/>
                    </pic:cNvPicPr>
                  </pic:nvPicPr>
                  <pic:blipFill>
                    <a:blip r:embed="rId4"/>
                    <a:srcRect/>
                    <a:stretch>
                      <a:fillRect/>
                    </a:stretch>
                  </pic:blipFill>
                  <pic:spPr>
                    <a:xfrm>
                      <a:off x="0" y="0"/>
                      <a:ext cx="5270500" cy="1164590"/>
                    </a:xfrm>
                    <a:prstGeom prst="rect">
                      <a:avLst/>
                    </a:prstGeom>
                  </pic:spPr>
                </pic:pic>
              </a:graphicData>
            </a:graphic>
          </wp:inline>
        </w:drawing>
      </w:r>
    </w:p>
    <w:p>
      <w:pPr>
        <w:rPr>
          <w:rFonts w:hint="eastAsia"/>
          <w:lang w:val="en-US" w:eastAsia="zh-CN"/>
        </w:rPr>
      </w:pPr>
    </w:p>
    <w:p>
      <w:pPr>
        <w:rPr>
          <w:rFonts w:hint="eastAsia"/>
          <w:lang w:val="en-US" w:eastAsia="zh-CN"/>
        </w:rPr>
      </w:pPr>
      <w:r>
        <w:rPr>
          <w:rFonts w:hint="eastAsia"/>
          <w:lang w:val="en-US" w:eastAsia="zh-CN"/>
        </w:rPr>
        <w:t>参考文献</w:t>
      </w:r>
    </w:p>
    <w:p>
      <w:pPr/>
      <w:r>
        <w:rPr>
          <w:rFonts w:hint="eastAsia"/>
          <w:lang w:val="en-US" w:eastAsia="zh-CN"/>
        </w:rPr>
        <w:t xml:space="preserve">[1] </w:t>
      </w:r>
      <w:r>
        <w:t>欧阳汉, 余小多. MRI在宫颈癌的应用进展[J]. 放射学实践, 2014(02):124-126.</w:t>
      </w:r>
    </w:p>
    <w:p>
      <w:pPr>
        <w:rPr>
          <w:rFonts w:hint="eastAsia"/>
          <w:lang w:val="en-US" w:eastAsia="zh-CN"/>
        </w:rPr>
      </w:pPr>
      <w:r>
        <w:rPr>
          <w:rFonts w:hint="eastAsia"/>
          <w:lang w:val="en-US" w:eastAsia="zh-CN"/>
        </w:rPr>
        <w:t xml:space="preserve">[2] </w:t>
      </w:r>
      <w:r>
        <w:t>孙赛花, 欧阳汉. 磁共振成像对宫颈癌诊断和临床分期的影响与意义[J]. 癌症进展, 2013, 11(4):355-358.</w:t>
      </w:r>
    </w:p>
    <w:p>
      <w:pPr>
        <w:rPr>
          <w:rFonts w:hint="eastAsia"/>
          <w:lang w:val="en-US" w:eastAsia="zh-CN"/>
        </w:rPr>
      </w:pPr>
      <w:r>
        <w:rPr>
          <w:rFonts w:hint="eastAsia"/>
          <w:lang w:val="en-US" w:eastAsia="zh-CN"/>
        </w:rPr>
        <w:t xml:space="preserve">[3] </w:t>
      </w:r>
      <w:r>
        <w:rPr>
          <w:rFonts w:hint="eastAsia"/>
        </w:rPr>
        <w:t>张婷</w:t>
      </w:r>
      <w:r>
        <w:rPr>
          <w:rFonts w:hint="eastAsia"/>
          <w:lang w:val="en-US" w:eastAsia="zh-CN"/>
        </w:rPr>
        <w:t xml:space="preserve">, </w:t>
      </w:r>
      <w:r>
        <w:rPr>
          <w:rFonts w:hint="eastAsia"/>
        </w:rPr>
        <w:t>刘爱连</w:t>
      </w:r>
      <w:r>
        <w:rPr>
          <w:rFonts w:hint="eastAsia"/>
          <w:lang w:val="en-US" w:eastAsia="zh-CN"/>
        </w:rPr>
        <w:t xml:space="preserve">, </w:t>
      </w:r>
      <w:r>
        <w:rPr>
          <w:rFonts w:hint="eastAsia"/>
        </w:rPr>
        <w:t>汪禾青</w:t>
      </w:r>
      <w:r>
        <w:rPr>
          <w:rFonts w:hint="eastAsia"/>
          <w:lang w:val="en-US" w:eastAsia="zh-CN"/>
        </w:rPr>
        <w:t xml:space="preserve">, </w:t>
      </w:r>
      <w:r>
        <w:rPr>
          <w:rFonts w:hint="eastAsia"/>
        </w:rPr>
        <w:t>等</w:t>
      </w:r>
      <w:r>
        <w:rPr>
          <w:rFonts w:hint="eastAsia"/>
          <w:lang w:val="en-US" w:eastAsia="zh-CN"/>
        </w:rPr>
        <w:t>.</w:t>
      </w:r>
      <w:r>
        <w:rPr>
          <w:rFonts w:hint="eastAsia"/>
        </w:rPr>
        <w:t>MRI动态增强扫描对宫颈癌的诊断价值[J]</w:t>
      </w:r>
      <w:r>
        <w:rPr>
          <w:rFonts w:hint="eastAsia"/>
          <w:lang w:val="en-US" w:eastAsia="zh-CN"/>
        </w:rPr>
        <w:t xml:space="preserve">. </w:t>
      </w:r>
      <w:r>
        <w:rPr>
          <w:rFonts w:hint="eastAsia"/>
        </w:rPr>
        <w:t>中华放射学杂志</w:t>
      </w:r>
      <w:r>
        <w:rPr>
          <w:rFonts w:hint="eastAsia"/>
          <w:lang w:val="en-US" w:eastAsia="zh-CN"/>
        </w:rPr>
        <w:t xml:space="preserve">, </w:t>
      </w:r>
      <w:r>
        <w:rPr>
          <w:rFonts w:hint="eastAsia"/>
        </w:rPr>
        <w:t>2009</w:t>
      </w:r>
      <w:r>
        <w:rPr>
          <w:rFonts w:hint="eastAsia"/>
          <w:lang w:val="en-US" w:eastAsia="zh-CN"/>
        </w:rPr>
        <w:t xml:space="preserve">, </w:t>
      </w:r>
      <w:r>
        <w:rPr>
          <w:rFonts w:hint="eastAsia"/>
        </w:rPr>
        <w:t>43(9)</w:t>
      </w:r>
      <w:r>
        <w:rPr>
          <w:rFonts w:hint="eastAsia"/>
          <w:lang w:val="en-US" w:eastAsia="zh-CN"/>
        </w:rPr>
        <w:t xml:space="preserve">: </w:t>
      </w:r>
      <w:r>
        <w:rPr>
          <w:rFonts w:hint="eastAsia"/>
        </w:rPr>
        <w:t>973</w:t>
      </w:r>
      <w:r>
        <w:rPr>
          <w:rFonts w:hint="eastAsia"/>
          <w:lang w:val="en-US" w:eastAsia="zh-CN"/>
        </w:rPr>
        <w:t>-</w:t>
      </w:r>
      <w:r>
        <w:rPr>
          <w:rFonts w:hint="eastAsia"/>
        </w:rPr>
        <w:t>977</w:t>
      </w:r>
      <w:r>
        <w:rPr>
          <w:rFonts w:hint="eastAsia"/>
          <w:lang w:val="en-US" w:eastAsia="zh-CN"/>
        </w:rPr>
        <w:t>.</w:t>
      </w:r>
    </w:p>
    <w:p>
      <w:pPr/>
      <w:r>
        <w:rPr>
          <w:rFonts w:hint="eastAsia"/>
          <w:lang w:val="en-US" w:eastAsia="zh-CN"/>
        </w:rPr>
        <w:t xml:space="preserve">[4] </w:t>
      </w:r>
      <w:r>
        <w:t>Iwata S, Joja I, Okuno K, et al. Cervical carcinoma with full-thickness stromal invasion: efficacy of dynamic MR imaging in the assessment of parametrial involvement[J]. Radiation medicine, 2001, 20(5): 247-255.</w:t>
      </w:r>
    </w:p>
    <w:p>
      <w:pPr>
        <w:rPr>
          <w:rFonts w:hint="eastAsia"/>
          <w:lang w:val="en-US" w:eastAsia="zh-CN"/>
        </w:rPr>
      </w:pPr>
      <w:r>
        <w:rPr>
          <w:rFonts w:hint="eastAsia"/>
          <w:lang w:val="en-US" w:eastAsia="zh-CN"/>
        </w:rPr>
        <w:t xml:space="preserve">[5] </w:t>
      </w:r>
      <w:r>
        <w:t>李建生, 陈志军, 汤日杰,等. MRI动态增强扫描对宫颈癌放疗疗效评价研究[J]. 中国煤炭工业医学杂志, 2014(10).</w:t>
      </w:r>
    </w:p>
    <w:p>
      <w:pPr>
        <w:rPr>
          <w:rFonts w:hint="eastAsia"/>
          <w:lang w:val="en-US" w:eastAsia="zh-CN"/>
        </w:rPr>
      </w:pPr>
      <w:r>
        <w:rPr>
          <w:rFonts w:hint="eastAsia"/>
          <w:lang w:val="en-US" w:eastAsia="zh-CN"/>
        </w:rPr>
        <w:t xml:space="preserve">[6] </w:t>
      </w:r>
      <w:r>
        <w:t>朱志军, 张碧娟, 郭吉敏,等. 动态增强MRI微血管通透性参数与Ⅱ期宫颈癌复发的相关性研究[J]. 放射学实践, 2015(8):841-844.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大标宋简体">
    <w:panose1 w:val="02010601030101010101"/>
    <w:charset w:val="86"/>
    <w:family w:val="auto"/>
    <w:pitch w:val="default"/>
    <w:sig w:usb0="00000001" w:usb1="080E0000" w:usb2="00000000" w:usb3="00000000" w:csb0="00040000" w:csb1="00000000"/>
  </w:font>
  <w:font w:name="方正喵呜体">
    <w:panose1 w:val="02010600010101010101"/>
    <w:charset w:val="86"/>
    <w:family w:val="auto"/>
    <w:pitch w:val="default"/>
    <w:sig w:usb0="00000001" w:usb1="080E0000" w:usb2="00000000" w:usb3="00000000" w:csb0="00040000" w:csb1="00000000"/>
  </w:font>
  <w:font w:name="方正大黑简体">
    <w:panose1 w:val="02010601030101010101"/>
    <w:charset w:val="86"/>
    <w:family w:val="auto"/>
    <w:pitch w:val="default"/>
    <w:sig w:usb0="00000001" w:usb1="080E0000" w:usb2="00000000" w:usb3="00000000" w:csb0="00040000" w:csb1="00000000"/>
  </w:font>
  <w:font w:name="方正大黑繁体">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姚体简体">
    <w:panose1 w:val="03000509000000000000"/>
    <w:charset w:val="86"/>
    <w:family w:val="auto"/>
    <w:pitch w:val="default"/>
    <w:sig w:usb0="00000001" w:usb1="080E0000" w:usb2="00000000" w:usb3="00000000" w:csb0="00040000" w:csb1="00000000"/>
  </w:font>
  <w:font w:name="方正姚体繁体">
    <w:panose1 w:val="03000509000000000000"/>
    <w:charset w:val="86"/>
    <w:family w:val="auto"/>
    <w:pitch w:val="default"/>
    <w:sig w:usb0="00000001" w:usb1="080E0000" w:usb2="00000000" w:usb3="00000000" w:csb0="00040000" w:csb1="00000000"/>
  </w:font>
  <w:font w:name="方正宋一简体">
    <w:panose1 w:val="03000509000000000000"/>
    <w:charset w:val="86"/>
    <w:family w:val="auto"/>
    <w:pitch w:val="default"/>
    <w:sig w:usb0="00000001" w:usb1="080E0000" w:usb2="00000000" w:usb3="00000000" w:csb0="00040000" w:csb1="00000000"/>
  </w:font>
  <w:font w:name="方正宋三简体">
    <w:panose1 w:val="02010601030101010101"/>
    <w:charset w:val="86"/>
    <w:family w:val="auto"/>
    <w:pitch w:val="default"/>
    <w:sig w:usb0="00000001" w:usb1="080E0000" w:usb2="00000000" w:usb3="00000000" w:csb0="00040000" w:csb1="00000000"/>
  </w:font>
  <w:font w:name="方正宋一繁体">
    <w:panose1 w:val="03000509000000000000"/>
    <w:charset w:val="86"/>
    <w:family w:val="auto"/>
    <w:pitch w:val="default"/>
    <w:sig w:usb0="00000001" w:usb1="080E0000" w:usb2="00000000" w:usb3="00000000" w:csb0="00040000" w:csb1="00000000"/>
  </w:font>
  <w:font w:name="Vani">
    <w:panose1 w:val="020B0502040204020203"/>
    <w:charset w:val="00"/>
    <w:family w:val="auto"/>
    <w:pitch w:val="default"/>
    <w:sig w:usb0="00200003"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Plantagenet Cherokee">
    <w:panose1 w:val="02020602070100000000"/>
    <w:charset w:val="00"/>
    <w:family w:val="auto"/>
    <w:pitch w:val="default"/>
    <w:sig w:usb0="00000003" w:usb1="00000000" w:usb2="00001000" w:usb3="00000000" w:csb0="00000001" w:csb1="00000000"/>
  </w:font>
  <w:font w:name="Palatino Linotype">
    <w:panose1 w:val="02040502050505030304"/>
    <w:charset w:val="00"/>
    <w:family w:val="auto"/>
    <w:pitch w:val="default"/>
    <w:sig w:usb0="E0000287" w:usb1="40000013" w:usb2="00000000" w:usb3="00000000" w:csb0="2000019F" w:csb1="00000000"/>
  </w:font>
  <w:font w:name="Nyala">
    <w:panose1 w:val="02000504070300020003"/>
    <w:charset w:val="00"/>
    <w:family w:val="auto"/>
    <w:pitch w:val="default"/>
    <w:sig w:usb0="A000006F" w:usb1="00000000" w:usb2="00000800" w:usb3="00000000" w:csb0="00000093" w:csb1="00000000"/>
  </w:font>
  <w:font w:name="MV Boli">
    <w:panose1 w:val="02000500030200090000"/>
    <w:charset w:val="00"/>
    <w:family w:val="auto"/>
    <w:pitch w:val="default"/>
    <w:sig w:usb0="00000003" w:usb1="00000000" w:usb2="00000100" w:usb3="00000000" w:csb0="00000001" w:csb1="00000000"/>
  </w:font>
  <w:font w:name="MT Extra">
    <w:panose1 w:val="05050102010205020202"/>
    <w:charset w:val="00"/>
    <w:family w:val="auto"/>
    <w:pitch w:val="default"/>
    <w:sig w:usb0="80000000" w:usb1="00000000" w:usb2="00000000" w:usb3="00000000" w:csb0="00000000" w:csb1="00000000"/>
  </w:font>
  <w:font w:name="Mongolian Baiti">
    <w:panose1 w:val="03000500000000000000"/>
    <w:charset w:val="00"/>
    <w:family w:val="auto"/>
    <w:pitch w:val="default"/>
    <w:sig w:usb0="80000023" w:usb1="00000000" w:usb2="00020000" w:usb3="00000000" w:csb0="00000001" w:csb1="00000000"/>
  </w:font>
  <w:font w:name="Miriam Fixed">
    <w:panose1 w:val="020B0509050101010101"/>
    <w:charset w:val="00"/>
    <w:family w:val="auto"/>
    <w:pitch w:val="default"/>
    <w:sig w:usb0="00000801" w:usb1="00000000" w:usb2="00000000" w:usb3="00000000" w:csb0="00000020" w:csb1="00200000"/>
  </w:font>
  <w:font w:name="Microsoft Uighur">
    <w:panose1 w:val="02000000000000000000"/>
    <w:charset w:val="00"/>
    <w:family w:val="auto"/>
    <w:pitch w:val="default"/>
    <w:sig w:usb0="00002003" w:usb1="80000000" w:usb2="00000008" w:usb3="00000000" w:csb0="00000041" w:csb1="00000000"/>
  </w:font>
  <w:font w:name="Georgia">
    <w:panose1 w:val="02040502050405020303"/>
    <w:charset w:val="00"/>
    <w:family w:val="auto"/>
    <w:pitch w:val="default"/>
    <w:sig w:usb0="00000287" w:usb1="00000000" w:usb2="00000000" w:usb3="00000000" w:csb0="2000009F" w:csb1="00000000"/>
  </w:font>
  <w:font w:name="Gautami">
    <w:panose1 w:val="020B0502040204020203"/>
    <w:charset w:val="00"/>
    <w:family w:val="auto"/>
    <w:pitch w:val="default"/>
    <w:sig w:usb0="00200003" w:usb1="00000000" w:usb2="00000000" w:usb3="00000000" w:csb0="00000001" w:csb1="00000000"/>
  </w:font>
  <w:font w:name="FrankRuehl">
    <w:panose1 w:val="020E0503060101010101"/>
    <w:charset w:val="00"/>
    <w:family w:val="auto"/>
    <w:pitch w:val="default"/>
    <w:sig w:usb0="00000801" w:usb1="00000000" w:usb2="00000000" w:usb3="00000000" w:csb0="00000020" w:csb1="00200000"/>
  </w:font>
  <w:font w:name="DaunPenh">
    <w:panose1 w:val="01010101010101010101"/>
    <w:charset w:val="00"/>
    <w:family w:val="auto"/>
    <w:pitch w:val="default"/>
    <w:sig w:usb0="00000003" w:usb1="00000000" w:usb2="00010000" w:usb3="00000000" w:csb0="00000001" w:csb1="00000000"/>
  </w:font>
  <w:font w:name="Cordia New">
    <w:panose1 w:val="020B0304020202020204"/>
    <w:charset w:val="00"/>
    <w:family w:val="auto"/>
    <w:pitch w:val="default"/>
    <w:sig w:usb0="81000003" w:usb1="00000000" w:usb2="00000000" w:usb3="00000000" w:csb0="00010001" w:csb1="00000000"/>
  </w:font>
  <w:font w:name="Corbel">
    <w:panose1 w:val="020B0503020204020204"/>
    <w:charset w:val="00"/>
    <w:family w:val="auto"/>
    <w:pitch w:val="default"/>
    <w:sig w:usb0="A00002EF" w:usb1="4000A44B" w:usb2="00000000" w:usb3="00000000" w:csb0="2000019F" w:csb1="00000000"/>
  </w:font>
  <w:font w:name="方正细倩简体">
    <w:panose1 w:val="03000509000000000000"/>
    <w:charset w:val="86"/>
    <w:family w:val="auto"/>
    <w:pitch w:val="default"/>
    <w:sig w:usb0="00000001" w:usb1="080E0000" w:usb2="00000000" w:usb3="00000000" w:csb0="0004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SJ-PK74820000004-Identity-H">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O9-PK74849-Identity-H">
    <w:altName w:val="宋体"/>
    <w:panose1 w:val="00000000000000000000"/>
    <w:charset w:val="86"/>
    <w:family w:val="auto"/>
    <w:pitch w:val="default"/>
    <w:sig w:usb0="00000000" w:usb1="00000000" w:usb2="00000000" w:usb3="00000000" w:csb0="00040000" w:csb1="00000000"/>
  </w:font>
  <w:font w:name="E-BZ9-PK7484d-Identity-H">
    <w:altName w:val="宋体"/>
    <w:panose1 w:val="00000000000000000000"/>
    <w:charset w:val="86"/>
    <w:family w:val="auto"/>
    <w:pitch w:val="default"/>
    <w:sig w:usb0="00000000" w:usb1="00000000" w:usb2="00000000" w:usb3="00000000" w:csb0="00040000" w:csb1="00000000"/>
  </w:font>
  <w:font w:name="H-SS9-PK74820000008-Identity-H">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3D413A"/>
    <w:rsid w:val="04456A8D"/>
    <w:rsid w:val="0EBF2140"/>
    <w:rsid w:val="0F4E072A"/>
    <w:rsid w:val="12500D17"/>
    <w:rsid w:val="19CC6F5F"/>
    <w:rsid w:val="1F665012"/>
    <w:rsid w:val="1FD27BC4"/>
    <w:rsid w:val="247F2B3F"/>
    <w:rsid w:val="261E7C99"/>
    <w:rsid w:val="2E955D79"/>
    <w:rsid w:val="302E2617"/>
    <w:rsid w:val="31B3151A"/>
    <w:rsid w:val="39065299"/>
    <w:rsid w:val="3B6B3809"/>
    <w:rsid w:val="3D581D30"/>
    <w:rsid w:val="497E6723"/>
    <w:rsid w:val="4E865DE0"/>
    <w:rsid w:val="576D107C"/>
    <w:rsid w:val="5F130109"/>
    <w:rsid w:val="6ADE52EB"/>
    <w:rsid w:val="6D9632D6"/>
    <w:rsid w:val="722629D3"/>
    <w:rsid w:val="7F5027E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2015-12-21T05:35:00Z</dcterms:created>
  <dc:creator>moemoe</dc:creator>
  <cp:lastModifiedBy>moemoe</cp:lastModifiedBy>
  <dcterms:modified xsi:type="dcterms:W3CDTF">2016-01-28T05:58:23Z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