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jc w:val="center"/>
        <w:rPr>
          <w:rFonts w:hint="eastAsia" w:ascii="黑体" w:hAnsi="黑体" w:eastAsia="黑体" w:cs="黑体"/>
          <w:color w:val="auto"/>
          <w:sz w:val="28"/>
          <w:szCs w:val="28"/>
        </w:rPr>
      </w:pPr>
      <w:r>
        <w:rPr>
          <w:rFonts w:hint="eastAsia" w:ascii="黑体" w:hAnsi="黑体" w:eastAsia="黑体" w:cs="黑体"/>
          <w:color w:val="auto"/>
          <w:sz w:val="28"/>
          <w:szCs w:val="28"/>
        </w:rPr>
        <w:t>良恶性肾脏肿瘤的鉴别诊断</w:t>
      </w:r>
    </w:p>
    <w:p>
      <w:pPr>
        <w:rPr>
          <w:rFonts w:hint="eastAsia"/>
          <w:color w:val="auto"/>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肾脏承担人体最主要的排泄功能，也是最容易发生疾病的器官之一，其中临床最常见的良恶性占位性病变为肾血管平滑肌脂肪瘤和肾癌；尤其肾癌，约占肾脏占位的85%，近年来发病率呈逐年上升趋势，全球每年新增约20万例患者。动态对比增强MRI（DCE-MRI）技术基于毫米级的空间分辨率，借助药物代谢动力学模型，可以准确反映组织内对比剂浓度变化和组织生理学信息，实现对肿瘤生理学特性的评估，能从病理生理变化角度分析肾脏病变的特点，大大提高了肾脏疾病尤其肾脏占位的诊断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Style w:val="5"/>
          <w:rFonts w:hint="eastAsia" w:ascii="宋体" w:hAnsi="宋体" w:eastAsia="宋体" w:cs="宋体"/>
          <w:i w:val="0"/>
          <w:caps w:val="0"/>
          <w:color w:val="auto"/>
          <w:spacing w:val="0"/>
          <w:sz w:val="21"/>
          <w:szCs w:val="21"/>
          <w:bdr w:val="none" w:color="auto" w:sz="0" w:space="0"/>
          <w:shd w:val="clear" w:fill="FFFFFF"/>
        </w:rPr>
        <w:t>MRI检查方法及参数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采用GE Signa HDXt 3.0 T磁共振扫描仪，8通道相控阵腹部线圈，DCE-MRI采用3D-T</w:t>
      </w:r>
      <w:r>
        <w:rPr>
          <w:rFonts w:hint="eastAsia" w:ascii="宋体" w:hAnsi="宋体" w:eastAsia="宋体" w:cs="宋体"/>
          <w:b w:val="0"/>
          <w:i w:val="0"/>
          <w:caps w:val="0"/>
          <w:color w:val="auto"/>
          <w:spacing w:val="0"/>
          <w:sz w:val="21"/>
          <w:szCs w:val="21"/>
          <w:bdr w:val="none" w:color="auto" w:sz="0" w:space="0"/>
          <w:shd w:val="clear" w:fill="FFFFFF"/>
          <w:vertAlign w:val="subscript"/>
        </w:rPr>
        <w:t>1</w:t>
      </w:r>
      <w:r>
        <w:rPr>
          <w:rFonts w:hint="eastAsia" w:ascii="宋体" w:hAnsi="宋体" w:eastAsia="宋体" w:cs="宋体"/>
          <w:b w:val="0"/>
          <w:i w:val="0"/>
          <w:caps w:val="0"/>
          <w:color w:val="auto"/>
          <w:spacing w:val="0"/>
          <w:sz w:val="21"/>
          <w:szCs w:val="21"/>
          <w:bdr w:val="none" w:color="auto" w:sz="0" w:space="0"/>
          <w:shd w:val="clear" w:fill="FFFFFF"/>
        </w:rPr>
        <w:t>WIGRE序列，TR 2.8 ms，TE 1.3 ms，层厚6.0 mm，层间距0.4 mm，FOV 62 mm，激励次数2.5次，矩阵128×94，T</w:t>
      </w:r>
      <w:r>
        <w:rPr>
          <w:rFonts w:hint="eastAsia" w:ascii="宋体" w:hAnsi="宋体" w:eastAsia="宋体" w:cs="宋体"/>
          <w:b w:val="0"/>
          <w:i w:val="0"/>
          <w:caps w:val="0"/>
          <w:color w:val="auto"/>
          <w:spacing w:val="0"/>
          <w:sz w:val="21"/>
          <w:szCs w:val="21"/>
          <w:bdr w:val="none" w:color="auto" w:sz="0" w:space="0"/>
          <w:shd w:val="clear" w:fill="FFFFFF"/>
          <w:vertAlign w:val="subscript"/>
        </w:rPr>
        <w:t xml:space="preserve">1 </w:t>
      </w:r>
      <w:r>
        <w:rPr>
          <w:rFonts w:hint="eastAsia" w:ascii="宋体" w:hAnsi="宋体" w:eastAsia="宋体" w:cs="宋体"/>
          <w:b w:val="0"/>
          <w:i w:val="0"/>
          <w:caps w:val="0"/>
          <w:color w:val="auto"/>
          <w:spacing w:val="0"/>
          <w:sz w:val="21"/>
          <w:szCs w:val="21"/>
          <w:bdr w:val="none" w:color="auto" w:sz="0" w:space="0"/>
          <w:shd w:val="clear" w:fill="FFFFFF"/>
        </w:rPr>
        <w:t>Mapping扫描5个翻转角即Flip angle 3、6、9、12、15。以Flip angle 12 LAVA序列进行动态增强扫描，先进行基线扫描，然后注射对比剂同时进行动态扫描，连续扫描15个期相。所用对比剂为Gd-DTPA-BMA（钆双胺）注射液，剂量为0.2 ml/kg，注射速度1.5 ml/s，随后注射盐水15 ml，速率1.5 ml/s。</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Style w:val="5"/>
          <w:rFonts w:hint="eastAsia" w:ascii="宋体" w:hAnsi="宋体" w:eastAsia="宋体" w:cs="宋体"/>
          <w:i w:val="0"/>
          <w:caps w:val="0"/>
          <w:color w:val="auto"/>
          <w:spacing w:val="0"/>
          <w:sz w:val="21"/>
          <w:szCs w:val="21"/>
          <w:bdr w:val="none" w:color="auto" w:sz="0" w:space="0"/>
          <w:shd w:val="clear" w:fill="FFFFFF"/>
        </w:rPr>
        <w:t>DCE-MRI图像及数据分析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利用Omni Kinetics软件对DCE-MRI图像进行后处理分析，在腹主动脉最大层面划感兴趣区（ROI），ROI不超出腹主动脉范围。在肿瘤组织的最大层面划取ROI，根据Extended Tofts双室药代动力学模型计算得到反映肿瘤组织微血管通透性的各项定量参数，即血浆空间容积分数（V</w:t>
      </w:r>
      <w:r>
        <w:rPr>
          <w:rFonts w:hint="eastAsia" w:ascii="宋体" w:hAnsi="宋体" w:eastAsia="宋体" w:cs="宋体"/>
          <w:b w:val="0"/>
          <w:i w:val="0"/>
          <w:caps w:val="0"/>
          <w:color w:val="auto"/>
          <w:spacing w:val="0"/>
          <w:sz w:val="21"/>
          <w:szCs w:val="21"/>
          <w:bdr w:val="none" w:color="auto" w:sz="0" w:space="0"/>
          <w:shd w:val="clear" w:fill="FFFFFF"/>
          <w:vertAlign w:val="subscript"/>
        </w:rPr>
        <w:t>p</w:t>
      </w:r>
      <w:r>
        <w:rPr>
          <w:rFonts w:hint="eastAsia" w:ascii="宋体" w:hAnsi="宋体" w:eastAsia="宋体" w:cs="宋体"/>
          <w:b w:val="0"/>
          <w:i w:val="0"/>
          <w:caps w:val="0"/>
          <w:color w:val="auto"/>
          <w:spacing w:val="0"/>
          <w:sz w:val="21"/>
          <w:szCs w:val="21"/>
          <w:bdr w:val="none" w:color="auto" w:sz="0" w:space="0"/>
          <w:shd w:val="clear" w:fill="FFFFFF"/>
        </w:rPr>
        <w:t>）、血管外细胞外容积分数（V</w:t>
      </w:r>
      <w:r>
        <w:rPr>
          <w:rFonts w:hint="eastAsia" w:ascii="宋体" w:hAnsi="宋体" w:eastAsia="宋体" w:cs="宋体"/>
          <w:b w:val="0"/>
          <w:i w:val="0"/>
          <w:caps w:val="0"/>
          <w:color w:val="auto"/>
          <w:spacing w:val="0"/>
          <w:sz w:val="21"/>
          <w:szCs w:val="21"/>
          <w:bdr w:val="none" w:color="auto" w:sz="0" w:space="0"/>
          <w:shd w:val="clear" w:fill="FFFFFF"/>
          <w:vertAlign w:val="subscript"/>
        </w:rPr>
        <w:t>e</w:t>
      </w:r>
      <w:r>
        <w:rPr>
          <w:rFonts w:hint="eastAsia" w:ascii="宋体" w:hAnsi="宋体" w:eastAsia="宋体" w:cs="宋体"/>
          <w:b w:val="0"/>
          <w:i w:val="0"/>
          <w:caps w:val="0"/>
          <w:color w:val="auto"/>
          <w:spacing w:val="0"/>
          <w:sz w:val="21"/>
          <w:szCs w:val="21"/>
          <w:bdr w:val="none" w:color="auto" w:sz="0" w:space="0"/>
          <w:shd w:val="clear" w:fill="FFFFFF"/>
        </w:rPr>
        <w:t>）、对比剂从血浆空间渗漏到血管外细胞外间隙（EES）的体积转运常数（K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），并根据公式K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/V</w:t>
      </w:r>
      <w:r>
        <w:rPr>
          <w:rFonts w:hint="eastAsia" w:ascii="宋体" w:hAnsi="宋体" w:eastAsia="宋体" w:cs="宋体"/>
          <w:b w:val="0"/>
          <w:i w:val="0"/>
          <w:caps w:val="0"/>
          <w:color w:val="auto"/>
          <w:spacing w:val="0"/>
          <w:sz w:val="21"/>
          <w:szCs w:val="21"/>
          <w:bdr w:val="none" w:color="auto" w:sz="0" w:space="0"/>
          <w:shd w:val="clear" w:fill="FFFFFF"/>
          <w:vertAlign w:val="subscript"/>
        </w:rPr>
        <w:t>e</w:t>
      </w:r>
      <w:r>
        <w:rPr>
          <w:rFonts w:hint="eastAsia" w:ascii="宋体" w:hAnsi="宋体" w:eastAsia="宋体" w:cs="宋体"/>
          <w:b w:val="0"/>
          <w:i w:val="0"/>
          <w:caps w:val="0"/>
          <w:color w:val="auto"/>
          <w:spacing w:val="0"/>
          <w:sz w:val="21"/>
          <w:szCs w:val="21"/>
          <w:bdr w:val="none" w:color="auto" w:sz="0" w:space="0"/>
          <w:shd w:val="clear" w:fill="FFFFFF"/>
        </w:rPr>
        <w:t>计算出对比剂从EES返回到血浆空间的速率常数（K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Style w:val="5"/>
          <w:rFonts w:hint="eastAsia" w:ascii="宋体" w:hAnsi="宋体" w:eastAsia="宋体" w:cs="宋体"/>
          <w:i w:val="0"/>
          <w:caps w:val="0"/>
          <w:color w:val="auto"/>
          <w:spacing w:val="0"/>
          <w:sz w:val="21"/>
          <w:szCs w:val="21"/>
          <w:bdr w:val="none" w:color="auto" w:sz="0" w:space="0"/>
          <w:shd w:val="clear" w:fill="FFFFFF"/>
        </w:rPr>
        <w:t>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right="0"/>
        <w:rPr>
          <w:rFonts w:hint="eastAsia" w:ascii="宋体" w:hAnsi="宋体" w:eastAsia="宋体" w:cs="宋体"/>
          <w:b w:val="0"/>
          <w:i w:val="0"/>
          <w:caps w:val="0"/>
          <w:color w:val="auto"/>
          <w:spacing w:val="0"/>
          <w:sz w:val="21"/>
          <w:szCs w:val="21"/>
          <w:bdr w:val="none" w:color="auto" w:sz="0" w:space="0"/>
          <w:shd w:val="clear" w:fill="FFFFFF"/>
        </w:rPr>
      </w:pPr>
      <w:r>
        <w:rPr>
          <w:rFonts w:hint="eastAsia" w:ascii="宋体" w:hAnsi="宋体" w:eastAsia="宋体" w:cs="宋体"/>
          <w:b w:val="0"/>
          <w:i w:val="0"/>
          <w:caps w:val="0"/>
          <w:color w:val="auto"/>
          <w:spacing w:val="0"/>
          <w:sz w:val="21"/>
          <w:szCs w:val="21"/>
          <w:bdr w:val="none" w:color="auto" w:sz="0" w:space="0"/>
          <w:shd w:val="clear" w:fill="FFFFFF"/>
        </w:rPr>
        <w:t>经手术病理证实，38例肾脏疾病患者中，肾癌26例，并有14例合并腹膜后淋巴结转移，肾血管平滑肌脂肪瘤12例。肾透明细胞癌组K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值明显高于肾血管平滑肌脂肪瘤组，组间比较（P＜0.05）差异有统计学意义，表明K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值可以鉴别肾透明细胞癌与肾血管平滑肌脂肪瘤；K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、V</w:t>
      </w:r>
      <w:r>
        <w:rPr>
          <w:rFonts w:hint="eastAsia" w:ascii="宋体" w:hAnsi="宋体" w:eastAsia="宋体" w:cs="宋体"/>
          <w:b w:val="0"/>
          <w:i w:val="0"/>
          <w:caps w:val="0"/>
          <w:color w:val="auto"/>
          <w:spacing w:val="0"/>
          <w:sz w:val="21"/>
          <w:szCs w:val="21"/>
          <w:bdr w:val="none" w:color="auto" w:sz="0" w:space="0"/>
          <w:shd w:val="clear" w:fill="FFFFFF"/>
          <w:vertAlign w:val="subscript"/>
        </w:rPr>
        <w:t>e</w:t>
      </w:r>
      <w:r>
        <w:rPr>
          <w:rFonts w:hint="eastAsia" w:ascii="宋体" w:hAnsi="宋体" w:eastAsia="宋体" w:cs="宋体"/>
          <w:b w:val="0"/>
          <w:i w:val="0"/>
          <w:caps w:val="0"/>
          <w:color w:val="auto"/>
          <w:spacing w:val="0"/>
          <w:sz w:val="21"/>
          <w:szCs w:val="21"/>
          <w:bdr w:val="none" w:color="auto" w:sz="0" w:space="0"/>
          <w:shd w:val="clear" w:fill="FFFFFF"/>
        </w:rPr>
        <w:t>值三组间比较（P＞0.05）无统计学差异，表明参数K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、V</w:t>
      </w:r>
      <w:r>
        <w:rPr>
          <w:rFonts w:hint="eastAsia" w:ascii="宋体" w:hAnsi="宋体" w:eastAsia="宋体" w:cs="宋体"/>
          <w:b w:val="0"/>
          <w:i w:val="0"/>
          <w:caps w:val="0"/>
          <w:color w:val="auto"/>
          <w:spacing w:val="0"/>
          <w:sz w:val="21"/>
          <w:szCs w:val="21"/>
          <w:bdr w:val="none" w:color="auto" w:sz="0" w:space="0"/>
          <w:shd w:val="clear" w:fill="FFFFFF"/>
          <w:vertAlign w:val="subscript"/>
        </w:rPr>
        <w:t>e</w:t>
      </w:r>
      <w:r>
        <w:rPr>
          <w:rFonts w:hint="eastAsia" w:ascii="宋体" w:hAnsi="宋体" w:eastAsia="宋体" w:cs="宋体"/>
          <w:b w:val="0"/>
          <w:i w:val="0"/>
          <w:caps w:val="0"/>
          <w:color w:val="auto"/>
          <w:spacing w:val="0"/>
          <w:sz w:val="21"/>
          <w:szCs w:val="21"/>
          <w:bdr w:val="none" w:color="auto" w:sz="0" w:space="0"/>
          <w:shd w:val="clear" w:fill="FFFFFF"/>
        </w:rPr>
        <w:t>不能鉴别这两种疾病。</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540" w:firstLineChars="200"/>
        <w:rPr>
          <w:rFonts w:hint="eastAsia" w:ascii="宋体" w:hAnsi="宋体" w:eastAsia="宋体" w:cs="宋体"/>
          <w:b w:val="0"/>
          <w:i w:val="0"/>
          <w:caps w:val="0"/>
          <w:color w:val="auto"/>
          <w:spacing w:val="0"/>
          <w:sz w:val="21"/>
          <w:szCs w:val="21"/>
          <w:bdr w:val="none" w:color="auto" w:sz="0" w:space="0"/>
          <w:shd w:val="clear" w:fill="FFFFFF"/>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right="0"/>
        <w:jc w:val="center"/>
        <w:rPr>
          <w:rFonts w:hint="eastAsia" w:ascii="宋体" w:hAnsi="宋体" w:eastAsia="宋体" w:cs="宋体"/>
          <w:b w:val="0"/>
          <w:i w:val="0"/>
          <w:caps w:val="0"/>
          <w:color w:val="auto"/>
          <w:spacing w:val="0"/>
          <w:sz w:val="21"/>
          <w:szCs w:val="21"/>
          <w:bdr w:val="none" w:color="auto" w:sz="0" w:space="0"/>
          <w:shd w:val="clear" w:fill="FFFFFF"/>
          <w:lang w:eastAsia="zh-CN"/>
        </w:rPr>
      </w:pPr>
      <w:r>
        <w:rPr>
          <w:rFonts w:hint="eastAsia" w:ascii="宋体" w:hAnsi="宋体" w:eastAsia="宋体" w:cs="宋体"/>
          <w:b w:val="0"/>
          <w:i w:val="0"/>
          <w:caps w:val="0"/>
          <w:color w:val="auto"/>
          <w:spacing w:val="0"/>
          <w:sz w:val="21"/>
          <w:szCs w:val="21"/>
          <w:bdr w:val="none" w:color="auto" w:sz="0" w:space="0"/>
          <w:shd w:val="clear" w:fill="FFFFFF"/>
          <w:lang w:eastAsia="zh-CN"/>
        </w:rPr>
        <w:drawing>
          <wp:inline distT="0" distB="0" distL="114300" distR="114300">
            <wp:extent cx="3934460" cy="1323975"/>
            <wp:effectExtent l="0" t="0" r="8890" b="9525"/>
            <wp:docPr id="1" name="图片 1" descr="initpintu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nitpintu_副本"/>
                    <pic:cNvPicPr>
                      <a:picLocks noChangeAspect="1"/>
                    </pic:cNvPicPr>
                  </pic:nvPicPr>
                  <pic:blipFill>
                    <a:blip r:embed="rId4"/>
                    <a:stretch>
                      <a:fillRect/>
                    </a:stretch>
                  </pic:blipFill>
                  <pic:spPr>
                    <a:xfrm>
                      <a:off x="0" y="0"/>
                      <a:ext cx="3934460" cy="132397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right="0"/>
        <w:jc w:val="center"/>
        <w:rPr>
          <w:rFonts w:hint="eastAsia" w:ascii="宋体" w:hAnsi="宋体" w:eastAsia="宋体" w:cs="宋体"/>
          <w:b w:val="0"/>
          <w:i w:val="0"/>
          <w:caps w:val="0"/>
          <w:color w:val="auto"/>
          <w:spacing w:val="0"/>
          <w:sz w:val="21"/>
          <w:szCs w:val="21"/>
          <w:bdr w:val="none" w:color="auto" w:sz="0" w:space="0"/>
          <w:shd w:val="clear" w:fill="FFFFFF"/>
          <w:lang w:eastAsia="zh-CN"/>
        </w:rPr>
      </w:pPr>
      <w:r>
        <w:rPr>
          <w:rFonts w:hint="eastAsia" w:ascii="宋体" w:hAnsi="宋体" w:eastAsia="宋体" w:cs="宋体"/>
          <w:b w:val="0"/>
          <w:i w:val="0"/>
          <w:caps w:val="0"/>
          <w:color w:val="auto"/>
          <w:spacing w:val="0"/>
          <w:sz w:val="21"/>
          <w:szCs w:val="21"/>
          <w:bdr w:val="none" w:color="auto" w:sz="0" w:space="0"/>
          <w:shd w:val="clear" w:fill="FFFFFF"/>
          <w:lang w:eastAsia="zh-CN"/>
        </w:rPr>
        <w:drawing>
          <wp:inline distT="0" distB="0" distL="114300" distR="114300">
            <wp:extent cx="3858260" cy="1285875"/>
            <wp:effectExtent l="0" t="0" r="8890" b="9525"/>
            <wp:docPr id="2" name="图片 2" descr="initpintu_副本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nitpintu_副本1"/>
                    <pic:cNvPicPr>
                      <a:picLocks noChangeAspect="1"/>
                    </pic:cNvPicPr>
                  </pic:nvPicPr>
                  <pic:blipFill>
                    <a:blip r:embed="rId5"/>
                    <a:stretch>
                      <a:fillRect/>
                    </a:stretch>
                  </pic:blipFill>
                  <pic:spPr>
                    <a:xfrm>
                      <a:off x="0" y="0"/>
                      <a:ext cx="3858260" cy="128587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right="0"/>
        <w:jc w:val="center"/>
        <w:rPr>
          <w:rFonts w:hint="eastAsia" w:ascii="宋体" w:hAnsi="宋体" w:eastAsia="宋体" w:cs="宋体"/>
          <w:b w:val="0"/>
          <w:i w:val="0"/>
          <w:caps w:val="0"/>
          <w:color w:val="auto"/>
          <w:spacing w:val="0"/>
          <w:sz w:val="21"/>
          <w:szCs w:val="21"/>
          <w:bdr w:val="none" w:color="auto" w:sz="0" w:space="0"/>
          <w:shd w:val="clear" w:fill="FFFFFF"/>
          <w:lang w:eastAsia="zh-CN"/>
        </w:rPr>
      </w:pP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Style w:val="5"/>
          <w:rFonts w:hint="eastAsia" w:ascii="宋体" w:hAnsi="宋体" w:eastAsia="宋体" w:cs="宋体"/>
          <w:i w:val="0"/>
          <w:caps w:val="0"/>
          <w:color w:val="auto"/>
          <w:spacing w:val="0"/>
          <w:sz w:val="21"/>
          <w:szCs w:val="21"/>
          <w:bdr w:val="none" w:color="auto" w:sz="0" w:space="0"/>
          <w:shd w:val="clear" w:fill="FFFFFF"/>
        </w:rPr>
        <w:t>讨论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是团注对比剂首次到达期间，顺浓度梯度由血浆空间渗漏到血管外细胞外间隙（EES）时获得的参数，反映血管的渗透性变化。正常组织血管及良性病变的血管渗透性无明显增高，而恶性肿瘤新生微血管的密度增强且渗透性明显升高，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值也相应升高，因此K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可以很好地鉴别肾透明细胞癌与乏脂肪肾血管平滑肌脂肪瘤。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为对比剂从EES返回到血浆空间的速率常数，它的病理生理基础是肿瘤新生微血管密度及渗透性的变化。恶性肿瘤微血管渗透性增高，K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值较大；良性病变血管通透性基本正常，K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值较小。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V</w:t>
      </w:r>
      <w:r>
        <w:rPr>
          <w:rFonts w:hint="eastAsia" w:ascii="宋体" w:hAnsi="宋体" w:eastAsia="宋体" w:cs="宋体"/>
          <w:b w:val="0"/>
          <w:i w:val="0"/>
          <w:caps w:val="0"/>
          <w:color w:val="auto"/>
          <w:spacing w:val="0"/>
          <w:sz w:val="21"/>
          <w:szCs w:val="21"/>
          <w:bdr w:val="none" w:color="auto" w:sz="0" w:space="0"/>
          <w:shd w:val="clear" w:fill="FFFFFF"/>
          <w:vertAlign w:val="subscript"/>
        </w:rPr>
        <w:t>e</w:t>
      </w:r>
      <w:r>
        <w:rPr>
          <w:rFonts w:hint="eastAsia" w:ascii="宋体" w:hAnsi="宋体" w:eastAsia="宋体" w:cs="宋体"/>
          <w:b w:val="0"/>
          <w:i w:val="0"/>
          <w:caps w:val="0"/>
          <w:color w:val="auto"/>
          <w:spacing w:val="0"/>
          <w:sz w:val="21"/>
          <w:szCs w:val="21"/>
          <w:bdr w:val="none" w:color="auto" w:sz="0" w:space="0"/>
          <w:shd w:val="clear" w:fill="FFFFFF"/>
        </w:rPr>
        <w:t>值为血管外细胞外容积分数，EES即代表着水分子运动空间，受血流量、血管渗透性的双重影响，如血流量增加可以使进入该间隙的对比剂增多，血管渗透性高也可使对比剂进入该间隙，因此无法用其单独评价血流灌注和组织间隙的大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本研究所得三组病例间的K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、V</w:t>
      </w:r>
      <w:r>
        <w:rPr>
          <w:rFonts w:hint="eastAsia" w:ascii="宋体" w:hAnsi="宋体" w:eastAsia="宋体" w:cs="宋体"/>
          <w:b w:val="0"/>
          <w:i w:val="0"/>
          <w:caps w:val="0"/>
          <w:color w:val="auto"/>
          <w:spacing w:val="0"/>
          <w:sz w:val="21"/>
          <w:szCs w:val="21"/>
          <w:bdr w:val="none" w:color="auto" w:sz="0" w:space="0"/>
          <w:shd w:val="clear" w:fill="FFFFFF"/>
          <w:vertAlign w:val="subscript"/>
        </w:rPr>
        <w:t>e</w:t>
      </w:r>
      <w:r>
        <w:rPr>
          <w:rFonts w:hint="eastAsia" w:ascii="宋体" w:hAnsi="宋体" w:eastAsia="宋体" w:cs="宋体"/>
          <w:b w:val="0"/>
          <w:i w:val="0"/>
          <w:caps w:val="0"/>
          <w:color w:val="auto"/>
          <w:spacing w:val="0"/>
          <w:sz w:val="21"/>
          <w:szCs w:val="21"/>
          <w:bdr w:val="none" w:color="auto" w:sz="0" w:space="0"/>
          <w:shd w:val="clear" w:fill="FFFFFF"/>
        </w:rPr>
        <w:t>值统计学无明显差异，因此K</w:t>
      </w:r>
      <w:r>
        <w:rPr>
          <w:rFonts w:hint="eastAsia" w:ascii="宋体" w:hAnsi="宋体" w:eastAsia="宋体" w:cs="宋体"/>
          <w:b w:val="0"/>
          <w:i w:val="0"/>
          <w:caps w:val="0"/>
          <w:color w:val="auto"/>
          <w:spacing w:val="0"/>
          <w:sz w:val="21"/>
          <w:szCs w:val="21"/>
          <w:bdr w:val="none" w:color="auto" w:sz="0" w:space="0"/>
          <w:shd w:val="clear" w:fill="FFFFFF"/>
          <w:vertAlign w:val="subscript"/>
        </w:rPr>
        <w:t>ep</w:t>
      </w:r>
      <w:r>
        <w:rPr>
          <w:rFonts w:hint="eastAsia" w:ascii="宋体" w:hAnsi="宋体" w:eastAsia="宋体" w:cs="宋体"/>
          <w:b w:val="0"/>
          <w:i w:val="0"/>
          <w:caps w:val="0"/>
          <w:color w:val="auto"/>
          <w:spacing w:val="0"/>
          <w:sz w:val="21"/>
          <w:szCs w:val="21"/>
          <w:bdr w:val="none" w:color="auto" w:sz="0" w:space="0"/>
          <w:shd w:val="clear" w:fill="FFFFFF"/>
        </w:rPr>
        <w:t>、V</w:t>
      </w:r>
      <w:r>
        <w:rPr>
          <w:rFonts w:hint="eastAsia" w:ascii="宋体" w:hAnsi="宋体" w:eastAsia="宋体" w:cs="宋体"/>
          <w:b w:val="0"/>
          <w:i w:val="0"/>
          <w:caps w:val="0"/>
          <w:color w:val="auto"/>
          <w:spacing w:val="0"/>
          <w:sz w:val="21"/>
          <w:szCs w:val="21"/>
          <w:bdr w:val="none" w:color="auto" w:sz="0" w:space="0"/>
          <w:shd w:val="clear" w:fill="FFFFFF"/>
          <w:vertAlign w:val="subscript"/>
        </w:rPr>
        <w:t>e</w:t>
      </w:r>
      <w:r>
        <w:rPr>
          <w:rFonts w:hint="eastAsia" w:ascii="宋体" w:hAnsi="宋体" w:eastAsia="宋体" w:cs="宋体"/>
          <w:b w:val="0"/>
          <w:i w:val="0"/>
          <w:caps w:val="0"/>
          <w:color w:val="auto"/>
          <w:spacing w:val="0"/>
          <w:sz w:val="21"/>
          <w:szCs w:val="21"/>
          <w:bdr w:val="none" w:color="auto" w:sz="0" w:space="0"/>
          <w:shd w:val="clear" w:fill="FFFFFF"/>
        </w:rPr>
        <w:t>对于两种疾病的鉴别诊断价值较小。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本研究未列出参数值V</w:t>
      </w:r>
      <w:r>
        <w:rPr>
          <w:rFonts w:hint="eastAsia" w:ascii="宋体" w:hAnsi="宋体" w:eastAsia="宋体" w:cs="宋体"/>
          <w:b w:val="0"/>
          <w:i w:val="0"/>
          <w:caps w:val="0"/>
          <w:color w:val="auto"/>
          <w:spacing w:val="0"/>
          <w:sz w:val="21"/>
          <w:szCs w:val="21"/>
          <w:bdr w:val="none" w:color="auto" w:sz="0" w:space="0"/>
          <w:shd w:val="clear" w:fill="FFFFFF"/>
          <w:vertAlign w:val="subscript"/>
        </w:rPr>
        <w:t>p</w:t>
      </w:r>
      <w:r>
        <w:rPr>
          <w:rFonts w:hint="eastAsia" w:ascii="宋体" w:hAnsi="宋体" w:eastAsia="宋体" w:cs="宋体"/>
          <w:b w:val="0"/>
          <w:i w:val="0"/>
          <w:caps w:val="0"/>
          <w:color w:val="auto"/>
          <w:spacing w:val="0"/>
          <w:sz w:val="21"/>
          <w:szCs w:val="21"/>
          <w:bdr w:val="none" w:color="auto" w:sz="0" w:space="0"/>
          <w:shd w:val="clear" w:fill="FFFFFF"/>
        </w:rPr>
        <w:t>。V</w:t>
      </w:r>
      <w:r>
        <w:rPr>
          <w:rFonts w:hint="eastAsia" w:ascii="宋体" w:hAnsi="宋体" w:eastAsia="宋体" w:cs="宋体"/>
          <w:b w:val="0"/>
          <w:i w:val="0"/>
          <w:caps w:val="0"/>
          <w:color w:val="auto"/>
          <w:spacing w:val="0"/>
          <w:sz w:val="21"/>
          <w:szCs w:val="21"/>
          <w:bdr w:val="none" w:color="auto" w:sz="0" w:space="0"/>
          <w:shd w:val="clear" w:fill="FFFFFF"/>
          <w:vertAlign w:val="subscript"/>
        </w:rPr>
        <w:t>p</w:t>
      </w:r>
      <w:r>
        <w:rPr>
          <w:rFonts w:hint="eastAsia" w:ascii="宋体" w:hAnsi="宋体" w:eastAsia="宋体" w:cs="宋体"/>
          <w:b w:val="0"/>
          <w:i w:val="0"/>
          <w:caps w:val="0"/>
          <w:color w:val="auto"/>
          <w:spacing w:val="0"/>
          <w:sz w:val="21"/>
          <w:szCs w:val="21"/>
          <w:bdr w:val="none" w:color="auto" w:sz="0" w:space="0"/>
          <w:shd w:val="clear" w:fill="FFFFFF"/>
        </w:rPr>
        <w:t>为对比剂在血浆中的容积，而对比剂在血浆与EES之间流动，最后会达到稳态，在血浆与EES中都有分布，所以不能用它进行渗透性的分析。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rPr>
          <w:rFonts w:hint="eastAsia" w:ascii="宋体" w:hAnsi="宋体" w:eastAsia="宋体" w:cs="宋体"/>
          <w:b w:val="0"/>
          <w:i w:val="0"/>
          <w:caps w:val="0"/>
          <w:color w:val="auto"/>
          <w:spacing w:val="0"/>
          <w:sz w:val="21"/>
          <w:szCs w:val="21"/>
        </w:rPr>
      </w:pPr>
      <w:r>
        <w:rPr>
          <w:rFonts w:hint="eastAsia" w:ascii="宋体" w:hAnsi="宋体" w:eastAsia="宋体" w:cs="宋体"/>
          <w:b w:val="0"/>
          <w:i w:val="0"/>
          <w:caps w:val="0"/>
          <w:color w:val="auto"/>
          <w:spacing w:val="0"/>
          <w:sz w:val="21"/>
          <w:szCs w:val="21"/>
          <w:bdr w:val="none" w:color="auto" w:sz="0" w:space="0"/>
          <w:shd w:val="clear" w:fill="FFFFFF"/>
        </w:rPr>
        <w:t>Chandarana H等报道K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能区分嫌色细胞癌与其他类型的肾癌，Sevcenco S等利用3.0 T DCE-MRI区分有乳突和无乳突两种肾细胞癌的亚型，K</w:t>
      </w:r>
      <w:r>
        <w:rPr>
          <w:rFonts w:hint="eastAsia" w:ascii="宋体" w:hAnsi="宋体" w:eastAsia="宋体" w:cs="宋体"/>
          <w:b w:val="0"/>
          <w:i w:val="0"/>
          <w:caps w:val="0"/>
          <w:color w:val="auto"/>
          <w:spacing w:val="0"/>
          <w:sz w:val="21"/>
          <w:szCs w:val="21"/>
          <w:bdr w:val="none" w:color="auto" w:sz="0" w:space="0"/>
          <w:shd w:val="clear" w:fill="FFFFFF"/>
          <w:vertAlign w:val="superscript"/>
        </w:rPr>
        <w:t>trans</w:t>
      </w:r>
      <w:r>
        <w:rPr>
          <w:rFonts w:hint="eastAsia" w:ascii="宋体" w:hAnsi="宋体" w:eastAsia="宋体" w:cs="宋体"/>
          <w:b w:val="0"/>
          <w:i w:val="0"/>
          <w:caps w:val="0"/>
          <w:color w:val="auto"/>
          <w:spacing w:val="0"/>
          <w:sz w:val="21"/>
          <w:szCs w:val="21"/>
          <w:bdr w:val="none" w:color="auto" w:sz="0" w:space="0"/>
          <w:shd w:val="clear" w:fill="FFFFFF"/>
        </w:rPr>
        <w:t>值的解释已经被证实取决于血流灌注和毛细血管通透性。应用定量DCE-MRI来鉴别肾透明细胞癌和乏脂肪肾血管平滑肌脂肪瘤，可以分析肿瘤新生微血管密度及渗透性的变化是其主要的优势。</w:t>
      </w:r>
    </w:p>
    <w:p>
      <w:pPr>
        <w:rPr>
          <w:rFonts w:hint="eastAsia" w:ascii="宋体" w:hAnsi="宋体" w:eastAsia="宋体" w:cs="宋体"/>
          <w:color w:val="auto"/>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Helvetica Ne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黑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5001E7"/>
    <w:rsid w:val="6D5001E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2016-01-27T09:43:00Z</dcterms:created>
  <dc:creator>moemoe</dc:creator>
  <cp:lastModifiedBy>moemoe</cp:lastModifiedBy>
  <dcterms:modified xsi:type="dcterms:W3CDTF">2016-01-27T09:47:51Z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