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>
      <w:pPr>
        <w:jc w:val="center"/>
        <w:rPr>
          <w:rFonts w:ascii="黑体" w:hAnsi="黑体" w:eastAsia="黑体" w:cs="黑体"/>
          <w:bCs/>
          <w:sz w:val="28"/>
          <w:szCs w:val="28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DCE-MRI在乳腺癌诊断和疗效评价中的应用</w:t>
      </w:r>
    </w:p>
    <w:p>
      <w:pPr/>
    </w:p>
    <w:p>
      <w:pPr>
        <w:autoSpaceDE w:val="0"/>
        <w:autoSpaceDN w:val="0"/>
        <w:adjustRightInd w:val="0"/>
        <w:ind w:firstLine="540" w:firstLineChars="200"/>
        <w:jc w:val="left"/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1"/>
          <w:szCs w:val="21"/>
          <w:shd w:val="clear" w:fill="FFFFFF"/>
        </w:rPr>
        <w:t>乳腺癌是我国女性最常见的癌症。临床上，早期乳腺癌是可以治愈的，因此早诊断早治疗显得尤为重要。影像学检查是乳腺癌诊断的主要手段。临床常用的乳腺影像学检查手段包括钼靶X线、超声、计算机断层扫描（CT）和磁共振（MRI）。其各自有不同的优势和劣势，MRI因其敏感性高、检出率高等优点已成为研究热点，其中的动态对比增强MRI（DCE-MRI）更能清晰显示病变的形态特征和血流动力学特征，被广泛应用于临床。</w:t>
      </w:r>
    </w:p>
    <w:p>
      <w:pPr>
        <w:autoSpaceDE w:val="0"/>
        <w:autoSpaceDN w:val="0"/>
        <w:adjustRightInd w:val="0"/>
        <w:ind w:firstLine="540" w:firstLineChars="200"/>
        <w:jc w:val="left"/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1"/>
          <w:szCs w:val="21"/>
          <w:shd w:val="clear" w:fill="FFFFFF"/>
        </w:rPr>
      </w:pPr>
    </w:p>
    <w:p>
      <w:pPr>
        <w:autoSpaceDE w:val="0"/>
        <w:autoSpaceDN w:val="0"/>
        <w:adjustRightInd w:val="0"/>
        <w:jc w:val="left"/>
        <w:rPr>
          <w:rFonts w:hint="eastAsia" w:ascii="宋体" w:hAnsi="宋体" w:eastAsia="宋体" w:cs="宋体"/>
          <w:b/>
          <w:color w:val="auto"/>
          <w:sz w:val="21"/>
          <w:szCs w:val="21"/>
        </w:rPr>
      </w:pPr>
      <w:r>
        <w:rPr>
          <w:rFonts w:hint="eastAsia" w:ascii="宋体" w:hAnsi="宋体" w:eastAsia="宋体" w:cs="宋体"/>
          <w:b/>
          <w:color w:val="auto"/>
          <w:sz w:val="21"/>
          <w:szCs w:val="21"/>
        </w:rPr>
        <w:t>DCE-MRI在乳腺癌诊断中的应用</w:t>
      </w:r>
    </w:p>
    <w:p>
      <w:pPr>
        <w:autoSpaceDE w:val="0"/>
        <w:autoSpaceDN w:val="0"/>
        <w:adjustRightInd w:val="0"/>
        <w:jc w:val="left"/>
        <w:rPr>
          <w:rFonts w:hint="eastAsia" w:ascii="宋体" w:hAnsi="宋体" w:eastAsia="宋体" w:cs="宋体"/>
          <w:b/>
          <w:color w:val="auto"/>
          <w:sz w:val="21"/>
          <w:szCs w:val="21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1"/>
          <w:szCs w:val="21"/>
          <w:bdr w:val="none" w:color="auto" w:sz="0" w:space="0"/>
          <w:shd w:val="clear" w:fill="FFFFFF"/>
        </w:rPr>
        <w:t>　　乳腺癌具有大量杂乱、不均匀的新生血管，形成了不完整、单层内皮、无舒缩功能的裂隙性血管网，引起微血管渗透性显著增加、组织间隙容量增加、微循环流速和流量增加，这种肿瘤微循环在空间和时间上的不均衡性是DCE-MRI评价乳腺癌微循环的病理基础，DCE-MRI能反映对比剂在瘤体内的动态分布过程，提供肿瘤血管的渗透率及灌注信息，间接反映肿瘤组织的微血管的分布，可以对肿瘤的血管生成状态进行较为准确的评估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1"/>
          <w:szCs w:val="21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1"/>
          <w:szCs w:val="21"/>
          <w:bdr w:val="none" w:color="auto" w:sz="0" w:space="0"/>
          <w:shd w:val="clear" w:fill="FFFFFF"/>
        </w:rPr>
        <w:t>　　乳腺组织进行动态增强扫描后使用软件可绘出时间-信号曲线，分为Ⅰ、Ⅱ、Ⅲ三种类型，是病灶血流灌注和流出等因素的综合反映，一般认为，Ⅰ型曲线多为良性，Ⅲ型曲线多为恶性，Ⅱ型曲线在良、恶性肿瘤间有部分重叠。因此，曲线类型结合图像和信号特征可以基本明确病变的良恶性质（图1）。而且DCE-MRI可多个时相成像，并进行自动减影，减少了脂肪与周围正常腺体对图像的影响，从而能够更加准确地显示病变的边界、形态、内部结构及与周围结构的关系等，大大提高了乳腺癌诊断的敏感性和特异性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1"/>
          <w:szCs w:val="21"/>
          <w:bdr w:val="none" w:color="auto" w:sz="0" w:space="0"/>
          <w:shd w:val="clear" w:fill="FFFFFF"/>
          <w:vertAlign w:val="superscript"/>
        </w:rPr>
        <w:t>[1]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1"/>
          <w:szCs w:val="21"/>
          <w:bdr w:val="none" w:color="auto" w:sz="0" w:space="0"/>
          <w:shd w:val="clear" w:fill="FFFFFF"/>
        </w:rPr>
        <w:t>。</w:t>
      </w: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</w:p>
    <w:p>
      <w:pPr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eastAsia="en-US"/>
        </w:rPr>
        <w:drawing>
          <wp:inline distT="0" distB="0" distL="0" distR="0">
            <wp:extent cx="5274310" cy="2684780"/>
            <wp:effectExtent l="0" t="0" r="2540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96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84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宋体" w:hAnsi="宋体" w:eastAsia="宋体" w:cs="宋体"/>
          <w:color w:val="808080" w:themeColor="text1" w:themeTint="80"/>
          <w:sz w:val="21"/>
          <w:szCs w:val="21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</w:pPr>
      <w:r>
        <w:rPr>
          <w:rFonts w:hint="eastAsia" w:ascii="宋体" w:hAnsi="宋体" w:eastAsia="宋体" w:cs="宋体"/>
          <w:color w:val="808080" w:themeColor="text1" w:themeTint="80"/>
          <w:sz w:val="21"/>
          <w:szCs w:val="21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  <w:t>图1A，B 左乳纤维腺瘤。A.动态增强扫描第3期注药后3 min左乳外上腺结节持续强化，信号较均匀，边缘光整；B.时间-信号曲线呈渐进型  图2A，B 右乳纤维腺瘤。A.动态增强扫描第2期注药后2 min右乳结节状强化灶，信号均匀，边界清；B.时间信号强度曲线呈平台型 图3A，B 右乳浸润性导管癌（III级）。A.动态增强扫描第2期右乳外上象限肿块早期明显强化，肿块边界欠清，边缘可见毛刺；B.时间-信号强度曲线呈廓清型，中晚期信号强度下降&gt;10%</w:t>
      </w:r>
    </w:p>
    <w:p>
      <w:pPr>
        <w:rPr>
          <w:rFonts w:hint="eastAsia" w:ascii="宋体" w:hAnsi="宋体" w:eastAsia="宋体" w:cs="宋体"/>
          <w:sz w:val="21"/>
          <w:szCs w:val="21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1"/>
          <w:szCs w:val="21"/>
          <w:bdr w:val="none" w:color="auto" w:sz="0" w:space="0"/>
          <w:shd w:val="clear" w:fill="FFFFFF"/>
        </w:rPr>
        <w:t>　　DCE-MRI可进行半定量及定量分析。半定量分析是根据信号强度-时间曲线得出的多种指标对组织的强化特点进行描述。汤光宇等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1"/>
          <w:szCs w:val="21"/>
          <w:bdr w:val="none" w:color="auto" w:sz="0" w:space="0"/>
          <w:shd w:val="clear" w:fill="FFFFFF"/>
          <w:vertAlign w:val="superscript"/>
        </w:rPr>
        <w:t>[2]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1"/>
          <w:szCs w:val="21"/>
          <w:bdr w:val="none" w:color="auto" w:sz="0" w:space="0"/>
          <w:shd w:val="clear" w:fill="FFFFFF"/>
        </w:rPr>
        <w:t>研究探讨了DCE-MRI半定量参数（包括最大增强斜率S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1"/>
          <w:szCs w:val="21"/>
          <w:bdr w:val="none" w:color="auto" w:sz="0" w:space="0"/>
          <w:shd w:val="clear" w:fill="FFFFFF"/>
          <w:vertAlign w:val="subscript"/>
        </w:rPr>
        <w:t>max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1"/>
          <w:szCs w:val="21"/>
          <w:bdr w:val="none" w:color="auto" w:sz="0" w:space="0"/>
          <w:shd w:val="clear" w:fill="FFFFFF"/>
        </w:rPr>
        <w:t>、峰值PH、峰值时间T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1"/>
          <w:szCs w:val="21"/>
          <w:bdr w:val="none" w:color="auto" w:sz="0" w:space="0"/>
          <w:shd w:val="clear" w:fill="FFFFFF"/>
          <w:vertAlign w:val="subscript"/>
        </w:rPr>
        <w:t>peak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1"/>
          <w:szCs w:val="21"/>
          <w:bdr w:val="none" w:color="auto" w:sz="0" w:space="0"/>
          <w:shd w:val="clear" w:fill="FFFFFF"/>
        </w:rPr>
        <w:t>）与肿瘤血管生成的关系。结果显示，DCE-MRI能客观反映乳腺癌血供的病例特征，从而推测其血管生成情况，因此有助于评估乳腺癌生物学特性，以指导治疗。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1"/>
          <w:szCs w:val="21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1"/>
          <w:szCs w:val="21"/>
          <w:bdr w:val="none" w:color="auto" w:sz="0" w:space="0"/>
          <w:shd w:val="clear" w:fill="FFFFFF"/>
        </w:rPr>
        <w:t>　　实施保乳手术前往往也应进行乳腺DCE-MRI检查，以有效显示病灶数量、病变分期及有无胸壁软组织受累等，更好地指导手术。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1"/>
          <w:szCs w:val="21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1"/>
          <w:szCs w:val="21"/>
          <w:bdr w:val="none" w:color="auto" w:sz="0" w:space="0"/>
          <w:shd w:val="clear" w:fill="FFFFFF"/>
        </w:rPr>
        <w:t>　　随着药代动力学模型计算方法的完善，DCE-MRI定量分析在乳腺癌诊断中的应用也更加广泛，定量分析常数包括容量转移常数（K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1"/>
          <w:szCs w:val="21"/>
          <w:bdr w:val="none" w:color="auto" w:sz="0" w:space="0"/>
          <w:shd w:val="clear" w:fill="FFFFFF"/>
          <w:vertAlign w:val="superscript"/>
        </w:rPr>
        <w:t>trans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1"/>
          <w:szCs w:val="21"/>
          <w:bdr w:val="none" w:color="auto" w:sz="0" w:space="0"/>
          <w:shd w:val="clear" w:fill="FFFFFF"/>
        </w:rPr>
        <w:t>）、速率常数（K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1"/>
          <w:szCs w:val="21"/>
          <w:bdr w:val="none" w:color="auto" w:sz="0" w:space="0"/>
          <w:shd w:val="clear" w:fill="FFFFFF"/>
          <w:vertAlign w:val="subscript"/>
        </w:rPr>
        <w:t>ep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1"/>
          <w:szCs w:val="21"/>
          <w:bdr w:val="none" w:color="auto" w:sz="0" w:space="0"/>
          <w:shd w:val="clear" w:fill="FFFFFF"/>
        </w:rPr>
        <w:t>）和血管外细胞外间隙容积比（V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1"/>
          <w:szCs w:val="21"/>
          <w:bdr w:val="none" w:color="auto" w:sz="0" w:space="0"/>
          <w:shd w:val="clear" w:fill="FFFFFF"/>
          <w:vertAlign w:val="subscript"/>
        </w:rPr>
        <w:t>e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1"/>
          <w:szCs w:val="21"/>
          <w:bdr w:val="none" w:color="auto" w:sz="0" w:space="0"/>
          <w:shd w:val="clear" w:fill="FFFFFF"/>
        </w:rPr>
        <w:t>）。李瑞敏等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1"/>
          <w:szCs w:val="21"/>
          <w:bdr w:val="none" w:color="auto" w:sz="0" w:space="0"/>
          <w:shd w:val="clear" w:fill="FFFFFF"/>
          <w:vertAlign w:val="superscript"/>
        </w:rPr>
        <w:t>[3]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1"/>
          <w:szCs w:val="21"/>
          <w:bdr w:val="none" w:color="auto" w:sz="0" w:space="0"/>
          <w:shd w:val="clear" w:fill="FFFFFF"/>
        </w:rPr>
        <w:t>以12G静脉留置针建立静脉通道，采用Gd-DTPA-BMA（钆双胺）为对比剂，0.2mmol/kg，注射流率0.2ml/s，注射完毕后追加10ml生理盐水推注，对118例乳腺疾病患者进行了DCE-MRI定量分析研究。结果表明，良性病变与恶性病变间K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1"/>
          <w:szCs w:val="21"/>
          <w:bdr w:val="none" w:color="auto" w:sz="0" w:space="0"/>
          <w:shd w:val="clear" w:fill="FFFFFF"/>
          <w:vertAlign w:val="superscript"/>
        </w:rPr>
        <w:t>trans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1"/>
          <w:szCs w:val="21"/>
          <w:bdr w:val="none" w:color="auto" w:sz="0" w:space="0"/>
          <w:shd w:val="clear" w:fill="FFFFFF"/>
        </w:rPr>
        <w:t>、K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1"/>
          <w:szCs w:val="21"/>
          <w:bdr w:val="none" w:color="auto" w:sz="0" w:space="0"/>
          <w:shd w:val="clear" w:fill="FFFFFF"/>
          <w:vertAlign w:val="subscript"/>
        </w:rPr>
        <w:t>ep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1"/>
          <w:szCs w:val="21"/>
          <w:bdr w:val="none" w:color="auto" w:sz="0" w:space="0"/>
          <w:shd w:val="clear" w:fill="FFFFFF"/>
        </w:rPr>
        <w:t>和V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1"/>
          <w:szCs w:val="21"/>
          <w:bdr w:val="none" w:color="auto" w:sz="0" w:space="0"/>
          <w:shd w:val="clear" w:fill="FFFFFF"/>
          <w:vertAlign w:val="subscript"/>
        </w:rPr>
        <w:t>e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1"/>
          <w:szCs w:val="21"/>
          <w:bdr w:val="none" w:color="auto" w:sz="0" w:space="0"/>
          <w:shd w:val="clear" w:fill="FFFFFF"/>
        </w:rPr>
        <w:t>的差异均有有统计学意义（表1），提示定量动态增强参数K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1"/>
          <w:szCs w:val="21"/>
          <w:bdr w:val="none" w:color="auto" w:sz="0" w:space="0"/>
          <w:shd w:val="clear" w:fill="FFFFFF"/>
          <w:vertAlign w:val="superscript"/>
        </w:rPr>
        <w:t>trans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1"/>
          <w:szCs w:val="21"/>
          <w:bdr w:val="none" w:color="auto" w:sz="0" w:space="0"/>
          <w:shd w:val="clear" w:fill="FFFFFF"/>
        </w:rPr>
        <w:t>、K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1"/>
          <w:szCs w:val="21"/>
          <w:bdr w:val="none" w:color="auto" w:sz="0" w:space="0"/>
          <w:shd w:val="clear" w:fill="FFFFFF"/>
          <w:vertAlign w:val="subscript"/>
        </w:rPr>
        <w:t>ep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1"/>
          <w:szCs w:val="21"/>
          <w:bdr w:val="none" w:color="auto" w:sz="0" w:space="0"/>
          <w:shd w:val="clear" w:fill="FFFFFF"/>
        </w:rPr>
        <w:t>值可以对乳腺良恶性病变做出鉴别诊断，并表现出相对高的诊断效能。</w:t>
      </w:r>
    </w:p>
    <w:p>
      <w:pPr>
        <w:autoSpaceDE w:val="0"/>
        <w:autoSpaceDN w:val="0"/>
        <w:adjustRightInd w:val="0"/>
        <w:jc w:val="left"/>
        <w:rPr>
          <w:rFonts w:hint="eastAsia" w:ascii="宋体" w:hAnsi="宋体" w:eastAsia="宋体" w:cs="宋体"/>
          <w:sz w:val="21"/>
          <w:szCs w:val="21"/>
        </w:rPr>
      </w:pPr>
    </w:p>
    <w:p>
      <w:pPr>
        <w:jc w:val="center"/>
        <w:rPr>
          <w:rFonts w:hint="eastAsia" w:ascii="宋体" w:hAnsi="宋体" w:eastAsia="宋体" w:cs="宋体"/>
          <w:color w:val="808080" w:themeColor="text1" w:themeTint="80"/>
          <w:sz w:val="21"/>
          <w:szCs w:val="21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</w:pPr>
      <w:r>
        <w:rPr>
          <w:rFonts w:hint="eastAsia" w:ascii="宋体" w:hAnsi="宋体" w:eastAsia="宋体" w:cs="宋体"/>
          <w:color w:val="808080" w:themeColor="text1" w:themeTint="80"/>
          <w:sz w:val="21"/>
          <w:szCs w:val="21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  <w:t>表1 正常腺体、良性病变与恶性病变组各定量参数结果</w:t>
      </w:r>
    </w:p>
    <w:p>
      <w:pPr>
        <w:autoSpaceDE w:val="0"/>
        <w:autoSpaceDN w:val="0"/>
        <w:adjustRightInd w:val="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eastAsia="en-US"/>
        </w:rPr>
        <w:drawing>
          <wp:inline distT="0" distB="0" distL="114300" distR="114300">
            <wp:extent cx="5276850" cy="609600"/>
            <wp:effectExtent l="0" t="0" r="0" b="0"/>
            <wp:docPr id="1" name="图片 1" descr="QQ截图201511031625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QQ截图20151103162544"/>
                    <pic:cNvPicPr>
                      <a:picLocks noChangeAspect="1"/>
                    </pic:cNvPicPr>
                  </pic:nvPicPr>
                  <pic:blipFill>
                    <a:blip r:embed="rId5"/>
                    <a:srcRect t="10738" b="46309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adjustRightInd w:val="0"/>
        <w:jc w:val="left"/>
        <w:rPr>
          <w:rFonts w:hint="eastAsia" w:ascii="宋体" w:hAnsi="宋体" w:eastAsia="宋体" w:cs="宋体"/>
          <w:sz w:val="21"/>
          <w:szCs w:val="21"/>
        </w:rPr>
      </w:pPr>
    </w:p>
    <w:p>
      <w:pPr>
        <w:autoSpaceDE w:val="0"/>
        <w:autoSpaceDN w:val="0"/>
        <w:adjustRightInd w:val="0"/>
        <w:jc w:val="left"/>
        <w:rPr>
          <w:rFonts w:hint="eastAsia" w:ascii="宋体" w:hAnsi="宋体" w:eastAsia="宋体" w:cs="宋体"/>
          <w:b/>
          <w:sz w:val="21"/>
          <w:szCs w:val="21"/>
        </w:rPr>
      </w:pPr>
      <w:r>
        <w:rPr>
          <w:rFonts w:hint="eastAsia" w:ascii="宋体" w:hAnsi="宋体" w:eastAsia="宋体" w:cs="宋体"/>
          <w:b/>
          <w:sz w:val="21"/>
          <w:szCs w:val="21"/>
        </w:rPr>
        <w:t>DCE-MRI对乳腺癌新辅助化疗疗效的评估</w:t>
      </w:r>
      <w:bookmarkStart w:id="0" w:name="_GoBack"/>
      <w:bookmarkEnd w:id="0"/>
    </w:p>
    <w:p>
      <w:pPr>
        <w:autoSpaceDE w:val="0"/>
        <w:autoSpaceDN w:val="0"/>
        <w:adjustRightInd w:val="0"/>
        <w:jc w:val="left"/>
        <w:rPr>
          <w:rFonts w:hint="eastAsia" w:ascii="宋体" w:hAnsi="宋体" w:eastAsia="宋体" w:cs="宋体"/>
          <w:sz w:val="21"/>
          <w:szCs w:val="21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1"/>
          <w:szCs w:val="21"/>
          <w:bdr w:val="none" w:color="auto" w:sz="0" w:space="0"/>
          <w:shd w:val="clear" w:fill="FFFFFF"/>
        </w:rPr>
        <w:t>　　乳腺癌新辅助化疗已逐渐形成规范化的治疗,新辅助化疗疗效的评价至关重要，如何评价其疗效成为临床医生共同关注的焦点。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1"/>
          <w:szCs w:val="21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1"/>
          <w:szCs w:val="21"/>
          <w:bdr w:val="none" w:color="auto" w:sz="0" w:space="0"/>
          <w:shd w:val="clear" w:fill="FFFFFF"/>
        </w:rPr>
        <w:t>　　DCE-MRI检查在评估乳腺癌新辅助化疗疗效上有重要的参考价值，可从多个方向观察肿块，病灶的大小、形态和边缘都能够较为清晰地显示出来，使绝大多数病灶变化均能被观察到；还可清楚地将病灶、结节的分页、毛刺、肿瘤周围的结构显示出来，将病变部分和正常腺体部分区分开，肿瘤的增强情况和内部结构的变化亦可纤毫毕现。周娟等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1"/>
          <w:szCs w:val="21"/>
          <w:bdr w:val="none" w:color="auto" w:sz="0" w:space="0"/>
          <w:shd w:val="clear" w:fill="FFFFFF"/>
          <w:vertAlign w:val="superscript"/>
        </w:rPr>
        <w:t>[4]</w:t>
      </w: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1"/>
          <w:szCs w:val="21"/>
          <w:bdr w:val="none" w:color="auto" w:sz="0" w:space="0"/>
          <w:shd w:val="clear" w:fill="FFFFFF"/>
        </w:rPr>
        <w:t>分析探讨了DCE-MRI对新辅助化疗后乳腺癌残余病灶的术前评估价值。结果显示，DCE-MRI诊断肿瘤残余的敏感性为93%，准确性92%，对新辅助化疗后乳腺癌残余病灶的诊断有较高敏感性和准确性，对新辅助化疗后的疗效评价具有重要价值。</w:t>
      </w:r>
    </w:p>
    <w:p>
      <w:pPr>
        <w:rPr>
          <w:rFonts w:hint="eastAsia" w:ascii="宋体" w:hAnsi="宋体" w:eastAsia="宋体" w:cs="宋体"/>
          <w:sz w:val="21"/>
          <w:szCs w:val="21"/>
        </w:rPr>
      </w:pPr>
    </w:p>
    <w:p>
      <w:pPr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参考文献</w:t>
      </w:r>
    </w:p>
    <w:p>
      <w:pPr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韩贺山,王利,管京乐.磁共振动态增强扫描在乳腺病变诊断中的应用[J].实用放射学杂志,2013,29 (12): 2055-2062</w:t>
      </w:r>
    </w:p>
    <w:p>
      <w:pPr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汤光宇,肖湘生,刘勇等.乳腺病变动态增强MRI与血管生成的相关性[J].中华放射学杂志,2007,41(11):1205-1208</w:t>
      </w:r>
    </w:p>
    <w:p>
      <w:pPr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周娟,邢旭东,李功杰等.动态增强磁共振成像对新辅助化疗后乳腺癌残余病灶的术前评估[J].实用放射学杂志,2012,28(10):1553-1556</w:t>
      </w:r>
    </w:p>
    <w:p>
      <w:pPr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李瑞敏,顾雅佳,毛健,等.定量动态增强MRI鉴别乳腺良恶性病变的研究[J].中华放射学杂志,2011,45:164-169.</w:t>
      </w:r>
    </w:p>
    <w:p>
      <w:pPr>
        <w:rPr>
          <w:rFonts w:hint="eastAsia" w:ascii="宋体" w:hAnsi="宋体" w:eastAsia="宋体" w:cs="宋体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roman"/>
    <w:pitch w:val="default"/>
    <w:sig w:usb0="E1002EFF" w:usb1="C000605B" w:usb2="00000029" w:usb3="00000000" w:csb0="200101FF" w:csb1="20280000"/>
  </w:font>
  <w:font w:name="黑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FZFSK--GBK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roman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7846"/>
    <w:rsid w:val="00105759"/>
    <w:rsid w:val="00117098"/>
    <w:rsid w:val="00124D11"/>
    <w:rsid w:val="00131A7E"/>
    <w:rsid w:val="0015234F"/>
    <w:rsid w:val="00171536"/>
    <w:rsid w:val="00172A27"/>
    <w:rsid w:val="0020666D"/>
    <w:rsid w:val="002119B1"/>
    <w:rsid w:val="00215191"/>
    <w:rsid w:val="00233724"/>
    <w:rsid w:val="00302E82"/>
    <w:rsid w:val="003A71DC"/>
    <w:rsid w:val="003D0A89"/>
    <w:rsid w:val="00445AD6"/>
    <w:rsid w:val="00447A42"/>
    <w:rsid w:val="00491815"/>
    <w:rsid w:val="004A4443"/>
    <w:rsid w:val="004E452E"/>
    <w:rsid w:val="00544C85"/>
    <w:rsid w:val="005E5719"/>
    <w:rsid w:val="00651397"/>
    <w:rsid w:val="006F1130"/>
    <w:rsid w:val="00700971"/>
    <w:rsid w:val="00731437"/>
    <w:rsid w:val="00735A98"/>
    <w:rsid w:val="007A0266"/>
    <w:rsid w:val="008437BA"/>
    <w:rsid w:val="008B6A3A"/>
    <w:rsid w:val="009C60D2"/>
    <w:rsid w:val="009E5FF8"/>
    <w:rsid w:val="00A01FFB"/>
    <w:rsid w:val="00A13A1E"/>
    <w:rsid w:val="00A43141"/>
    <w:rsid w:val="00A760F9"/>
    <w:rsid w:val="00B16DEF"/>
    <w:rsid w:val="00BB75AE"/>
    <w:rsid w:val="00BF51F6"/>
    <w:rsid w:val="00C57E31"/>
    <w:rsid w:val="00C9170F"/>
    <w:rsid w:val="00C935F8"/>
    <w:rsid w:val="00CC3A06"/>
    <w:rsid w:val="00CD00A4"/>
    <w:rsid w:val="00CF1470"/>
    <w:rsid w:val="00D120E6"/>
    <w:rsid w:val="00D20C04"/>
    <w:rsid w:val="00E02F1C"/>
    <w:rsid w:val="00E44268"/>
    <w:rsid w:val="00E75C4D"/>
    <w:rsid w:val="00F278B6"/>
    <w:rsid w:val="00F50768"/>
    <w:rsid w:val="00F60C64"/>
    <w:rsid w:val="00F633E6"/>
    <w:rsid w:val="00FA47A3"/>
    <w:rsid w:val="00FD3173"/>
    <w:rsid w:val="00FF2CB9"/>
    <w:rsid w:val="160C5796"/>
    <w:rsid w:val="215D684E"/>
    <w:rsid w:val="24190849"/>
    <w:rsid w:val="24AB1F7C"/>
    <w:rsid w:val="3A9160A5"/>
    <w:rsid w:val="41CB477D"/>
    <w:rsid w:val="44705CD5"/>
    <w:rsid w:val="483B158F"/>
    <w:rsid w:val="49023556"/>
    <w:rsid w:val="528204A8"/>
    <w:rsid w:val="56310EF9"/>
    <w:rsid w:val="5E2C368E"/>
    <w:rsid w:val="66C258A6"/>
    <w:rsid w:val="6A0240AA"/>
    <w:rsid w:val="76640CC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200" w:line="276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Header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Footer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Balloon Text Char"/>
    <w:basedOn w:val="6"/>
    <w:link w:val="2"/>
    <w:semiHidden/>
    <w:qFormat/>
    <w:uiPriority w:val="99"/>
    <w:rPr>
      <w:rFonts w:ascii="Tahoma" w:hAnsi="Tahoma" w:cs="Tahoma"/>
      <w:kern w:val="2"/>
      <w:sz w:val="16"/>
      <w:szCs w:val="16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GE</Company>
  <Pages>1</Pages>
  <Words>360</Words>
  <Characters>2056</Characters>
  <Lines>17</Lines>
  <Paragraphs>4</Paragraphs>
  <ScaleCrop>false</ScaleCrop>
  <LinksUpToDate>false</LinksUpToDate>
  <CharactersWithSpaces>2412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2015-10-28T05:37:00Z</dcterms:created>
  <dc:creator>wsx</dc:creator>
  <cp:lastModifiedBy>moemoe</cp:lastModifiedBy>
  <dcterms:modified xsi:type="dcterms:W3CDTF">2016-01-28T05:35:36Z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